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0F67" w14:textId="77777777" w:rsidR="00FE7B2E" w:rsidRDefault="00FE7B2E" w:rsidP="00FE7B2E">
      <w:pPr>
        <w:spacing w:after="120" w:line="288" w:lineRule="auto"/>
        <w:jc w:val="center"/>
        <w:rPr>
          <w:rFonts w:cstheme="minorHAnsi"/>
          <w:b/>
          <w:bCs/>
          <w:sz w:val="20"/>
          <w:szCs w:val="20"/>
        </w:rPr>
      </w:pPr>
      <w:r w:rsidRPr="004C079C">
        <w:rPr>
          <w:rFonts w:cstheme="minorHAnsi"/>
          <w:b/>
          <w:bCs/>
          <w:sz w:val="20"/>
          <w:szCs w:val="20"/>
        </w:rPr>
        <w:t xml:space="preserve">Koniec redukcji </w:t>
      </w:r>
      <w:r>
        <w:rPr>
          <w:rFonts w:cstheme="minorHAnsi"/>
          <w:b/>
          <w:bCs/>
          <w:sz w:val="20"/>
          <w:szCs w:val="20"/>
        </w:rPr>
        <w:t>biur</w:t>
      </w:r>
      <w:r w:rsidRPr="004C079C">
        <w:rPr>
          <w:rFonts w:cstheme="minorHAnsi"/>
          <w:b/>
          <w:bCs/>
          <w:sz w:val="20"/>
          <w:szCs w:val="20"/>
        </w:rPr>
        <w:t xml:space="preserve"> – </w:t>
      </w:r>
      <w:r>
        <w:rPr>
          <w:rFonts w:cstheme="minorHAnsi"/>
          <w:b/>
          <w:bCs/>
          <w:sz w:val="20"/>
          <w:szCs w:val="20"/>
        </w:rPr>
        <w:t>portfele najemców stabilizują się</w:t>
      </w:r>
    </w:p>
    <w:p w14:paraId="5F77C758" w14:textId="77777777" w:rsidR="00FE7B2E" w:rsidRPr="004C079C" w:rsidRDefault="00FE7B2E" w:rsidP="00FE7B2E">
      <w:pPr>
        <w:spacing w:after="120" w:line="288" w:lineRule="auto"/>
        <w:jc w:val="center"/>
        <w:rPr>
          <w:rFonts w:cstheme="minorHAnsi"/>
          <w:b/>
          <w:bCs/>
          <w:sz w:val="20"/>
          <w:szCs w:val="20"/>
        </w:rPr>
      </w:pPr>
    </w:p>
    <w:p w14:paraId="11276E96" w14:textId="77777777" w:rsidR="00FE7B2E" w:rsidRPr="00302C92" w:rsidRDefault="00FE7B2E" w:rsidP="00FE7B2E">
      <w:pPr>
        <w:spacing w:after="120" w:line="240" w:lineRule="auto"/>
        <w:jc w:val="both"/>
        <w:rPr>
          <w:rFonts w:cstheme="minorHAnsi"/>
          <w:b/>
          <w:bCs/>
          <w:sz w:val="20"/>
          <w:szCs w:val="20"/>
        </w:rPr>
      </w:pPr>
      <w:r w:rsidRPr="00302C92">
        <w:rPr>
          <w:rFonts w:cstheme="minorHAnsi"/>
          <w:b/>
          <w:bCs/>
          <w:sz w:val="20"/>
          <w:szCs w:val="20"/>
        </w:rPr>
        <w:t>Międzynarodowa firma doradcza Cushman &amp; Wakefield (NYSE: CWK)</w:t>
      </w:r>
      <w:r>
        <w:rPr>
          <w:rFonts w:cstheme="minorHAnsi"/>
          <w:b/>
          <w:bCs/>
          <w:sz w:val="20"/>
          <w:szCs w:val="20"/>
        </w:rPr>
        <w:t>,</w:t>
      </w:r>
      <w:r w:rsidRPr="00302C92">
        <w:rPr>
          <w:rFonts w:cstheme="minorHAnsi"/>
          <w:b/>
          <w:bCs/>
          <w:sz w:val="20"/>
          <w:szCs w:val="20"/>
        </w:rPr>
        <w:t xml:space="preserve"> wraz z globalnym stowarzyszeniem dyrektorów ds. nieruchomości korporacyjnych </w:t>
      </w:r>
      <w:proofErr w:type="spellStart"/>
      <w:r w:rsidRPr="00302C92">
        <w:rPr>
          <w:rFonts w:cstheme="minorHAnsi"/>
          <w:b/>
          <w:bCs/>
          <w:sz w:val="20"/>
          <w:szCs w:val="20"/>
        </w:rPr>
        <w:t>CoreNet</w:t>
      </w:r>
      <w:proofErr w:type="spellEnd"/>
      <w:r w:rsidRPr="00302C92">
        <w:rPr>
          <w:rFonts w:cstheme="minorHAnsi"/>
          <w:b/>
          <w:bCs/>
          <w:sz w:val="20"/>
          <w:szCs w:val="20"/>
        </w:rPr>
        <w:t xml:space="preserve"> Global, opublikowała wyniki nowego badania ankietowego „</w:t>
      </w:r>
      <w:proofErr w:type="spellStart"/>
      <w:r w:rsidRPr="00302C92">
        <w:rPr>
          <w:rFonts w:cstheme="minorHAnsi"/>
          <w:b/>
          <w:bCs/>
          <w:sz w:val="20"/>
          <w:szCs w:val="20"/>
        </w:rPr>
        <w:t>What</w:t>
      </w:r>
      <w:proofErr w:type="spellEnd"/>
      <w:r w:rsidRPr="00302C92">
        <w:rPr>
          <w:rFonts w:cstheme="minorHAnsi"/>
          <w:b/>
          <w:bCs/>
          <w:sz w:val="20"/>
          <w:szCs w:val="20"/>
        </w:rPr>
        <w:t xml:space="preserve"> </w:t>
      </w:r>
      <w:proofErr w:type="spellStart"/>
      <w:r w:rsidRPr="00302C92">
        <w:rPr>
          <w:rFonts w:cstheme="minorHAnsi"/>
          <w:b/>
          <w:bCs/>
          <w:sz w:val="20"/>
          <w:szCs w:val="20"/>
        </w:rPr>
        <w:t>occupiers</w:t>
      </w:r>
      <w:proofErr w:type="spellEnd"/>
      <w:r w:rsidRPr="00302C92">
        <w:rPr>
          <w:rFonts w:cstheme="minorHAnsi"/>
          <w:b/>
          <w:bCs/>
          <w:sz w:val="20"/>
          <w:szCs w:val="20"/>
        </w:rPr>
        <w:t xml:space="preserve"> want”. </w:t>
      </w:r>
      <w:r>
        <w:rPr>
          <w:rFonts w:cstheme="minorHAnsi"/>
          <w:b/>
          <w:bCs/>
          <w:sz w:val="20"/>
          <w:szCs w:val="20"/>
        </w:rPr>
        <w:t>Wynika z niego</w:t>
      </w:r>
      <w:r w:rsidRPr="00302C92">
        <w:rPr>
          <w:rFonts w:cstheme="minorHAnsi"/>
          <w:b/>
          <w:bCs/>
          <w:sz w:val="20"/>
          <w:szCs w:val="20"/>
        </w:rPr>
        <w:t xml:space="preserve">, </w:t>
      </w:r>
      <w:r>
        <w:rPr>
          <w:rFonts w:cstheme="minorHAnsi"/>
          <w:b/>
          <w:bCs/>
          <w:sz w:val="20"/>
          <w:szCs w:val="20"/>
        </w:rPr>
        <w:t xml:space="preserve">że </w:t>
      </w:r>
      <w:r w:rsidRPr="00302C92">
        <w:rPr>
          <w:rFonts w:cstheme="minorHAnsi"/>
          <w:b/>
          <w:bCs/>
          <w:sz w:val="20"/>
          <w:szCs w:val="20"/>
        </w:rPr>
        <w:t xml:space="preserve">koszty nadal pozostają najważniejszym czynnikiem, ale na strategie dotyczące nieruchomości na całym świecie wpływa też dostępność pracowników, elastyczność oraz oferta usług. </w:t>
      </w:r>
      <w:r>
        <w:rPr>
          <w:rFonts w:cstheme="minorHAnsi"/>
          <w:b/>
          <w:bCs/>
          <w:sz w:val="20"/>
          <w:szCs w:val="20"/>
        </w:rPr>
        <w:t>Ponadto</w:t>
      </w:r>
      <w:r w:rsidRPr="00302C92">
        <w:rPr>
          <w:rFonts w:cstheme="minorHAnsi"/>
          <w:b/>
          <w:bCs/>
          <w:sz w:val="20"/>
          <w:szCs w:val="20"/>
        </w:rPr>
        <w:t xml:space="preserve"> po latach intensywnego ograniczania powierzchni biurowych firmy na całym świecie stabilizują swoje portfele – tylko co trzecia planuje dalsze redukcje, a coraz więcej organizacji deklaruje chęć ekspansji. W Polsce ten trend jest jeszcze silniej widoczny – najemcy aktywni na rodzimym rynku podchodzą do planowania przestrzeni z większym optymizmem niż średnia globalna.</w:t>
      </w:r>
    </w:p>
    <w:p w14:paraId="30CA2E62" w14:textId="77777777" w:rsidR="00FE7B2E" w:rsidRDefault="00FE7B2E" w:rsidP="00FE7B2E">
      <w:pPr>
        <w:spacing w:after="120" w:line="240" w:lineRule="auto"/>
        <w:jc w:val="both"/>
        <w:rPr>
          <w:rFonts w:cstheme="minorHAnsi"/>
          <w:sz w:val="20"/>
          <w:szCs w:val="20"/>
        </w:rPr>
      </w:pPr>
      <w:r>
        <w:rPr>
          <w:rFonts w:cstheme="minorHAnsi"/>
          <w:sz w:val="20"/>
          <w:szCs w:val="20"/>
        </w:rPr>
        <w:t>Raport</w:t>
      </w:r>
      <w:r w:rsidRPr="004C079C">
        <w:rPr>
          <w:rFonts w:cstheme="minorHAnsi"/>
          <w:sz w:val="20"/>
          <w:szCs w:val="20"/>
        </w:rPr>
        <w:t xml:space="preserve"> „</w:t>
      </w:r>
      <w:proofErr w:type="spellStart"/>
      <w:r w:rsidRPr="004C079C">
        <w:rPr>
          <w:rFonts w:cstheme="minorHAnsi"/>
          <w:sz w:val="20"/>
          <w:szCs w:val="20"/>
        </w:rPr>
        <w:t>What</w:t>
      </w:r>
      <w:proofErr w:type="spellEnd"/>
      <w:r w:rsidRPr="004C079C">
        <w:rPr>
          <w:rFonts w:cstheme="minorHAnsi"/>
          <w:sz w:val="20"/>
          <w:szCs w:val="20"/>
        </w:rPr>
        <w:t xml:space="preserve"> </w:t>
      </w:r>
      <w:proofErr w:type="spellStart"/>
      <w:r w:rsidRPr="004C079C">
        <w:rPr>
          <w:rFonts w:cstheme="minorHAnsi"/>
          <w:sz w:val="20"/>
          <w:szCs w:val="20"/>
        </w:rPr>
        <w:t>Occupiers</w:t>
      </w:r>
      <w:proofErr w:type="spellEnd"/>
      <w:r w:rsidRPr="004C079C">
        <w:rPr>
          <w:rFonts w:cstheme="minorHAnsi"/>
          <w:sz w:val="20"/>
          <w:szCs w:val="20"/>
        </w:rPr>
        <w:t xml:space="preserve"> Want 2025”</w:t>
      </w:r>
      <w:r>
        <w:rPr>
          <w:rFonts w:cstheme="minorHAnsi"/>
          <w:sz w:val="20"/>
          <w:szCs w:val="20"/>
        </w:rPr>
        <w:t xml:space="preserve"> bazuje na opiniach </w:t>
      </w:r>
      <w:r w:rsidRPr="004C079C">
        <w:rPr>
          <w:rFonts w:cstheme="minorHAnsi"/>
          <w:sz w:val="20"/>
          <w:szCs w:val="20"/>
        </w:rPr>
        <w:t xml:space="preserve">dyrektorów </w:t>
      </w:r>
      <w:r>
        <w:rPr>
          <w:rFonts w:cstheme="minorHAnsi"/>
          <w:sz w:val="20"/>
          <w:szCs w:val="20"/>
        </w:rPr>
        <w:t>odpowiadających za nieruchomości korporacyjne</w:t>
      </w:r>
      <w:r w:rsidRPr="004C079C">
        <w:rPr>
          <w:rFonts w:cstheme="minorHAnsi"/>
          <w:sz w:val="20"/>
          <w:szCs w:val="20"/>
        </w:rPr>
        <w:t xml:space="preserve"> w obu Amerykach (52%), regionie EMEA (34%) oraz Azji i Pacyfiku (14%)</w:t>
      </w:r>
      <w:r>
        <w:rPr>
          <w:rFonts w:cstheme="minorHAnsi"/>
          <w:sz w:val="20"/>
          <w:szCs w:val="20"/>
        </w:rPr>
        <w:t>. Ankietowani reprezentują firmy</w:t>
      </w:r>
      <w:r w:rsidRPr="004C079C">
        <w:rPr>
          <w:rFonts w:cstheme="minorHAnsi"/>
          <w:sz w:val="20"/>
          <w:szCs w:val="20"/>
        </w:rPr>
        <w:t xml:space="preserve">, które zatrudniają </w:t>
      </w:r>
      <w:r>
        <w:rPr>
          <w:rFonts w:cstheme="minorHAnsi"/>
          <w:sz w:val="20"/>
          <w:szCs w:val="20"/>
        </w:rPr>
        <w:t xml:space="preserve">w sumie </w:t>
      </w:r>
      <w:r w:rsidRPr="004C079C">
        <w:rPr>
          <w:rFonts w:cstheme="minorHAnsi"/>
          <w:sz w:val="20"/>
          <w:szCs w:val="20"/>
        </w:rPr>
        <w:t xml:space="preserve">ok. 8,1 mln </w:t>
      </w:r>
      <w:r>
        <w:rPr>
          <w:rFonts w:cstheme="minorHAnsi"/>
          <w:sz w:val="20"/>
          <w:szCs w:val="20"/>
        </w:rPr>
        <w:t>osób</w:t>
      </w:r>
      <w:r w:rsidRPr="004C079C">
        <w:rPr>
          <w:rFonts w:cstheme="minorHAnsi"/>
          <w:sz w:val="20"/>
          <w:szCs w:val="20"/>
        </w:rPr>
        <w:t xml:space="preserve"> na całym świecie i wynajmują łącznie prawie 32 mln mkw. powierzchni biurowej.</w:t>
      </w:r>
    </w:p>
    <w:p w14:paraId="576240CA" w14:textId="77777777" w:rsidR="00FE7B2E" w:rsidRDefault="00FE7B2E" w:rsidP="00FE7B2E">
      <w:pPr>
        <w:spacing w:after="120" w:line="288" w:lineRule="auto"/>
        <w:rPr>
          <w:rFonts w:cstheme="minorHAnsi"/>
          <w:b/>
          <w:bCs/>
          <w:sz w:val="20"/>
          <w:szCs w:val="20"/>
        </w:rPr>
      </w:pPr>
      <w:r w:rsidRPr="004C079C">
        <w:rPr>
          <w:rFonts w:cstheme="minorHAnsi"/>
          <w:b/>
          <w:bCs/>
          <w:sz w:val="20"/>
          <w:szCs w:val="20"/>
        </w:rPr>
        <w:t>Koszty wciąż najważniejszym czynnikiem</w:t>
      </w:r>
    </w:p>
    <w:p w14:paraId="6F5C6164" w14:textId="77777777" w:rsidR="00FE7B2E" w:rsidRPr="004C079C" w:rsidRDefault="00FE7B2E" w:rsidP="00FE7B2E">
      <w:pPr>
        <w:spacing w:after="120" w:line="240" w:lineRule="auto"/>
        <w:jc w:val="both"/>
        <w:rPr>
          <w:rFonts w:cstheme="minorHAnsi"/>
          <w:sz w:val="20"/>
          <w:szCs w:val="20"/>
        </w:rPr>
      </w:pPr>
      <w:r>
        <w:rPr>
          <w:rFonts w:cstheme="minorHAnsi"/>
          <w:sz w:val="20"/>
          <w:szCs w:val="20"/>
        </w:rPr>
        <w:t>Jak wynika z badania „</w:t>
      </w:r>
      <w:proofErr w:type="spellStart"/>
      <w:r>
        <w:rPr>
          <w:rFonts w:cstheme="minorHAnsi"/>
          <w:sz w:val="20"/>
          <w:szCs w:val="20"/>
        </w:rPr>
        <w:t>What</w:t>
      </w:r>
      <w:proofErr w:type="spellEnd"/>
      <w:r>
        <w:rPr>
          <w:rFonts w:cstheme="minorHAnsi"/>
          <w:sz w:val="20"/>
          <w:szCs w:val="20"/>
        </w:rPr>
        <w:t xml:space="preserve"> </w:t>
      </w:r>
      <w:proofErr w:type="spellStart"/>
      <w:r>
        <w:rPr>
          <w:rFonts w:cstheme="minorHAnsi"/>
          <w:sz w:val="20"/>
          <w:szCs w:val="20"/>
        </w:rPr>
        <w:t>Occupiers</w:t>
      </w:r>
      <w:proofErr w:type="spellEnd"/>
      <w:r>
        <w:rPr>
          <w:rFonts w:cstheme="minorHAnsi"/>
          <w:sz w:val="20"/>
          <w:szCs w:val="20"/>
        </w:rPr>
        <w:t xml:space="preserve"> Want 2025”, k</w:t>
      </w:r>
      <w:r w:rsidRPr="004C079C">
        <w:rPr>
          <w:rFonts w:cstheme="minorHAnsi"/>
          <w:sz w:val="20"/>
          <w:szCs w:val="20"/>
        </w:rPr>
        <w:t xml:space="preserve">ontrola kosztów pozostaje kluczowym czynnikiem przy podejmowaniu decyzji dotyczących nieruchomości korporacyjnych na całym świecie, </w:t>
      </w:r>
      <w:r>
        <w:rPr>
          <w:rFonts w:cstheme="minorHAnsi"/>
          <w:sz w:val="20"/>
          <w:szCs w:val="20"/>
        </w:rPr>
        <w:t>na co wpływ ma ciągła presja optymalizacji wydatków</w:t>
      </w:r>
      <w:r w:rsidRPr="004C079C">
        <w:rPr>
          <w:rFonts w:cstheme="minorHAnsi"/>
          <w:sz w:val="20"/>
          <w:szCs w:val="20"/>
        </w:rPr>
        <w:t xml:space="preserve">. W strategiach nadal dominujące znaczenie mają </w:t>
      </w:r>
      <w:r>
        <w:rPr>
          <w:rFonts w:cstheme="minorHAnsi"/>
          <w:sz w:val="20"/>
          <w:szCs w:val="20"/>
        </w:rPr>
        <w:t xml:space="preserve">zatem </w:t>
      </w:r>
      <w:r w:rsidRPr="004C079C">
        <w:rPr>
          <w:rFonts w:cstheme="minorHAnsi"/>
          <w:sz w:val="20"/>
          <w:szCs w:val="20"/>
        </w:rPr>
        <w:t xml:space="preserve">wskaźniki efektywności finansowej, zwłaszcza koszty, </w:t>
      </w:r>
      <w:r>
        <w:rPr>
          <w:rFonts w:cstheme="minorHAnsi"/>
          <w:sz w:val="20"/>
          <w:szCs w:val="20"/>
        </w:rPr>
        <w:t>wydajność</w:t>
      </w:r>
      <w:r w:rsidRPr="004C079C">
        <w:rPr>
          <w:rFonts w:cstheme="minorHAnsi"/>
          <w:sz w:val="20"/>
          <w:szCs w:val="20"/>
        </w:rPr>
        <w:t xml:space="preserve"> i </w:t>
      </w:r>
      <w:r>
        <w:rPr>
          <w:rFonts w:cstheme="minorHAnsi"/>
          <w:sz w:val="20"/>
          <w:szCs w:val="20"/>
        </w:rPr>
        <w:t xml:space="preserve">stopień </w:t>
      </w:r>
      <w:r w:rsidRPr="004C079C">
        <w:rPr>
          <w:rFonts w:cstheme="minorHAnsi"/>
          <w:sz w:val="20"/>
          <w:szCs w:val="20"/>
        </w:rPr>
        <w:t>wykorzystani</w:t>
      </w:r>
      <w:r>
        <w:rPr>
          <w:rFonts w:cstheme="minorHAnsi"/>
          <w:sz w:val="20"/>
          <w:szCs w:val="20"/>
        </w:rPr>
        <w:t>a</w:t>
      </w:r>
      <w:r w:rsidRPr="004C079C">
        <w:rPr>
          <w:rFonts w:cstheme="minorHAnsi"/>
          <w:sz w:val="20"/>
          <w:szCs w:val="20"/>
        </w:rPr>
        <w:t xml:space="preserve"> powierzchni.</w:t>
      </w:r>
    </w:p>
    <w:p w14:paraId="46113BA1" w14:textId="77777777" w:rsidR="00FE7B2E" w:rsidRPr="004C079C" w:rsidRDefault="00FE7B2E" w:rsidP="00FE7B2E">
      <w:pPr>
        <w:spacing w:after="120" w:line="240" w:lineRule="auto"/>
        <w:jc w:val="both"/>
        <w:rPr>
          <w:rFonts w:cstheme="minorHAnsi"/>
          <w:sz w:val="20"/>
          <w:szCs w:val="20"/>
        </w:rPr>
      </w:pPr>
      <w:r w:rsidRPr="004C079C">
        <w:rPr>
          <w:rFonts w:cstheme="minorHAnsi"/>
          <w:sz w:val="20"/>
          <w:szCs w:val="20"/>
        </w:rPr>
        <w:t xml:space="preserve">Jednak </w:t>
      </w:r>
      <w:r>
        <w:rPr>
          <w:rFonts w:cstheme="minorHAnsi"/>
          <w:sz w:val="20"/>
          <w:szCs w:val="20"/>
        </w:rPr>
        <w:t>na każdym kroku</w:t>
      </w:r>
      <w:r w:rsidRPr="004C079C">
        <w:rPr>
          <w:rFonts w:cstheme="minorHAnsi"/>
          <w:sz w:val="20"/>
          <w:szCs w:val="20"/>
        </w:rPr>
        <w:t xml:space="preserve"> odczuwalna</w:t>
      </w:r>
      <w:r w:rsidRPr="003F2230">
        <w:rPr>
          <w:rFonts w:cstheme="minorHAnsi"/>
          <w:sz w:val="20"/>
          <w:szCs w:val="20"/>
        </w:rPr>
        <w:t xml:space="preserve"> </w:t>
      </w:r>
      <w:r w:rsidRPr="004C079C">
        <w:rPr>
          <w:rFonts w:cstheme="minorHAnsi"/>
          <w:sz w:val="20"/>
          <w:szCs w:val="20"/>
        </w:rPr>
        <w:t>jest niepewność. Nie</w:t>
      </w:r>
      <w:r>
        <w:rPr>
          <w:rFonts w:cstheme="minorHAnsi"/>
          <w:sz w:val="20"/>
          <w:szCs w:val="20"/>
        </w:rPr>
        <w:t>stabilna</w:t>
      </w:r>
      <w:r w:rsidRPr="004C079C">
        <w:rPr>
          <w:rFonts w:cstheme="minorHAnsi"/>
          <w:sz w:val="20"/>
          <w:szCs w:val="20"/>
        </w:rPr>
        <w:t xml:space="preserve"> sytuacja polityczna, zmieniające się modele pracy oraz </w:t>
      </w:r>
      <w:r>
        <w:rPr>
          <w:rFonts w:cstheme="minorHAnsi"/>
          <w:sz w:val="20"/>
          <w:szCs w:val="20"/>
        </w:rPr>
        <w:t>niepewne</w:t>
      </w:r>
      <w:r w:rsidRPr="004C079C">
        <w:rPr>
          <w:rFonts w:cstheme="minorHAnsi"/>
          <w:sz w:val="20"/>
          <w:szCs w:val="20"/>
        </w:rPr>
        <w:t xml:space="preserve"> wskaźniki zwrotu z inwestycji sprawiły, że wiele organizacji waha się przed podejmowaniem odważnych decyzji. Dodatkowo znaczenie priorytetów z zakresu </w:t>
      </w:r>
      <w:r>
        <w:rPr>
          <w:rFonts w:cstheme="minorHAnsi"/>
          <w:sz w:val="20"/>
          <w:szCs w:val="20"/>
        </w:rPr>
        <w:t>zrównoważonego rozwoju</w:t>
      </w:r>
      <w:r w:rsidRPr="004C079C">
        <w:rPr>
          <w:rFonts w:cstheme="minorHAnsi"/>
          <w:sz w:val="20"/>
          <w:szCs w:val="20"/>
        </w:rPr>
        <w:t xml:space="preserve">, które wcześniej systematycznie wzrastało, </w:t>
      </w:r>
      <w:r>
        <w:rPr>
          <w:rFonts w:cstheme="minorHAnsi"/>
          <w:sz w:val="20"/>
          <w:szCs w:val="20"/>
        </w:rPr>
        <w:t>spadło</w:t>
      </w:r>
      <w:r w:rsidRPr="004C079C">
        <w:rPr>
          <w:rFonts w:cstheme="minorHAnsi"/>
          <w:sz w:val="20"/>
          <w:szCs w:val="20"/>
        </w:rPr>
        <w:t xml:space="preserve"> w skali globalnej do poziomu sprzed 2021 roku, choć nadal pozostają one kluczowym zagadnieniem w regionach EMEA oraz Azji i Pacyfiku.</w:t>
      </w:r>
    </w:p>
    <w:p w14:paraId="1E296489" w14:textId="77777777" w:rsidR="00FE7B2E" w:rsidRDefault="00FE7B2E" w:rsidP="00FE7B2E">
      <w:pPr>
        <w:rPr>
          <w:rFonts w:cstheme="minorHAnsi"/>
          <w:b/>
          <w:bCs/>
          <w:sz w:val="20"/>
          <w:szCs w:val="20"/>
        </w:rPr>
      </w:pPr>
      <w:r w:rsidRPr="00F803A8">
        <w:rPr>
          <w:rFonts w:cstheme="minorHAnsi"/>
          <w:b/>
          <w:bCs/>
          <w:sz w:val="20"/>
          <w:szCs w:val="20"/>
        </w:rPr>
        <w:t>Biura na redukcji? Już nie</w:t>
      </w:r>
      <w:r>
        <w:rPr>
          <w:rFonts w:cstheme="minorHAnsi"/>
          <w:b/>
          <w:bCs/>
          <w:sz w:val="20"/>
          <w:szCs w:val="20"/>
        </w:rPr>
        <w:t>!</w:t>
      </w:r>
    </w:p>
    <w:p w14:paraId="35029577" w14:textId="77777777" w:rsidR="00FE7B2E" w:rsidRPr="00F803A8" w:rsidRDefault="00FE7B2E" w:rsidP="00FE7B2E">
      <w:pPr>
        <w:spacing w:line="240" w:lineRule="auto"/>
        <w:jc w:val="both"/>
        <w:rPr>
          <w:rFonts w:cstheme="minorHAnsi"/>
          <w:b/>
          <w:bCs/>
          <w:sz w:val="20"/>
          <w:szCs w:val="20"/>
        </w:rPr>
      </w:pPr>
      <w:r>
        <w:rPr>
          <w:rFonts w:cstheme="minorHAnsi"/>
          <w:sz w:val="20"/>
          <w:szCs w:val="20"/>
        </w:rPr>
        <w:t>Raport wskazuje jednak, że p</w:t>
      </w:r>
      <w:r w:rsidRPr="004C079C">
        <w:rPr>
          <w:rFonts w:cstheme="minorHAnsi"/>
          <w:sz w:val="20"/>
          <w:szCs w:val="20"/>
        </w:rPr>
        <w:t xml:space="preserve">o kilku latach ograniczania </w:t>
      </w:r>
      <w:r>
        <w:rPr>
          <w:rFonts w:cstheme="minorHAnsi"/>
          <w:sz w:val="20"/>
          <w:szCs w:val="20"/>
        </w:rPr>
        <w:t>wielkości</w:t>
      </w:r>
      <w:r w:rsidRPr="004C079C">
        <w:rPr>
          <w:rFonts w:cstheme="minorHAnsi"/>
          <w:sz w:val="20"/>
          <w:szCs w:val="20"/>
        </w:rPr>
        <w:t xml:space="preserve"> wynajmowanej powierzchni </w:t>
      </w:r>
      <w:r>
        <w:rPr>
          <w:rFonts w:cstheme="minorHAnsi"/>
          <w:sz w:val="20"/>
          <w:szCs w:val="20"/>
        </w:rPr>
        <w:t xml:space="preserve">te czasy </w:t>
      </w:r>
      <w:r w:rsidRPr="004C079C">
        <w:rPr>
          <w:rFonts w:cstheme="minorHAnsi"/>
          <w:sz w:val="20"/>
          <w:szCs w:val="20"/>
        </w:rPr>
        <w:t>dobiega</w:t>
      </w:r>
      <w:r>
        <w:rPr>
          <w:rFonts w:cstheme="minorHAnsi"/>
          <w:sz w:val="20"/>
          <w:szCs w:val="20"/>
        </w:rPr>
        <w:t>ją</w:t>
      </w:r>
      <w:r w:rsidRPr="004C079C">
        <w:rPr>
          <w:rFonts w:cstheme="minorHAnsi"/>
          <w:sz w:val="20"/>
          <w:szCs w:val="20"/>
        </w:rPr>
        <w:t xml:space="preserve"> końca. Tylko 32% firm planuje </w:t>
      </w:r>
      <w:r>
        <w:rPr>
          <w:rFonts w:cstheme="minorHAnsi"/>
          <w:sz w:val="20"/>
          <w:szCs w:val="20"/>
        </w:rPr>
        <w:t xml:space="preserve">bowiem </w:t>
      </w:r>
      <w:r w:rsidRPr="004C079C">
        <w:rPr>
          <w:rFonts w:cstheme="minorHAnsi"/>
          <w:sz w:val="20"/>
          <w:szCs w:val="20"/>
        </w:rPr>
        <w:t xml:space="preserve">dalsze </w:t>
      </w:r>
      <w:r>
        <w:rPr>
          <w:rFonts w:cstheme="minorHAnsi"/>
          <w:sz w:val="20"/>
          <w:szCs w:val="20"/>
        </w:rPr>
        <w:t>redukcje</w:t>
      </w:r>
      <w:r w:rsidRPr="004C079C">
        <w:rPr>
          <w:rFonts w:cstheme="minorHAnsi"/>
          <w:sz w:val="20"/>
          <w:szCs w:val="20"/>
        </w:rPr>
        <w:t xml:space="preserve">, podczas gdy co ósmy najemca deklaruje zamiar wynajęcia dodatkowej </w:t>
      </w:r>
      <w:r>
        <w:rPr>
          <w:rFonts w:cstheme="minorHAnsi"/>
          <w:sz w:val="20"/>
          <w:szCs w:val="20"/>
        </w:rPr>
        <w:t>przestrzeni biurowej</w:t>
      </w:r>
      <w:r w:rsidRPr="004C079C">
        <w:rPr>
          <w:rFonts w:cstheme="minorHAnsi"/>
          <w:sz w:val="20"/>
          <w:szCs w:val="20"/>
        </w:rPr>
        <w:t>. Jednocześnie średnia wielkość nowo podpisywanych umów najmu wzrosła od 2023 roku o 13%.</w:t>
      </w:r>
    </w:p>
    <w:p w14:paraId="3F2CCAD3" w14:textId="77777777" w:rsidR="00FE7B2E" w:rsidRPr="007155FD" w:rsidRDefault="00FE7B2E" w:rsidP="00FE7B2E">
      <w:pPr>
        <w:spacing w:after="120" w:line="240" w:lineRule="auto"/>
        <w:jc w:val="both"/>
        <w:rPr>
          <w:rFonts w:cstheme="minorHAnsi"/>
          <w:b/>
          <w:bCs/>
          <w:sz w:val="20"/>
          <w:szCs w:val="20"/>
        </w:rPr>
      </w:pPr>
      <w:r>
        <w:rPr>
          <w:rFonts w:cstheme="minorHAnsi"/>
          <w:i/>
          <w:iCs/>
          <w:sz w:val="20"/>
          <w:szCs w:val="20"/>
        </w:rPr>
        <w:t>– Według w</w:t>
      </w:r>
      <w:r w:rsidRPr="00246234">
        <w:rPr>
          <w:rFonts w:cstheme="minorHAnsi"/>
          <w:i/>
          <w:iCs/>
          <w:sz w:val="20"/>
          <w:szCs w:val="20"/>
        </w:rPr>
        <w:t>ynik</w:t>
      </w:r>
      <w:r>
        <w:rPr>
          <w:rFonts w:cstheme="minorHAnsi"/>
          <w:i/>
          <w:iCs/>
          <w:sz w:val="20"/>
          <w:szCs w:val="20"/>
        </w:rPr>
        <w:t>ów</w:t>
      </w:r>
      <w:r w:rsidRPr="00246234">
        <w:rPr>
          <w:rFonts w:cstheme="minorHAnsi"/>
          <w:i/>
          <w:iCs/>
          <w:sz w:val="20"/>
          <w:szCs w:val="20"/>
        </w:rPr>
        <w:t xml:space="preserve"> nadchodzącej nowej edycji raportu Business Environment </w:t>
      </w:r>
      <w:proofErr w:type="spellStart"/>
      <w:r w:rsidRPr="00246234">
        <w:rPr>
          <w:rFonts w:cstheme="minorHAnsi"/>
          <w:i/>
          <w:iCs/>
          <w:sz w:val="20"/>
          <w:szCs w:val="20"/>
        </w:rPr>
        <w:t>Assessment</w:t>
      </w:r>
      <w:proofErr w:type="spellEnd"/>
      <w:r w:rsidRPr="00246234">
        <w:rPr>
          <w:rFonts w:cstheme="minorHAnsi"/>
          <w:i/>
          <w:iCs/>
          <w:sz w:val="20"/>
          <w:szCs w:val="20"/>
        </w:rPr>
        <w:t xml:space="preserve"> Study (BEAS),</w:t>
      </w:r>
      <w:r>
        <w:rPr>
          <w:rFonts w:cstheme="minorHAnsi"/>
          <w:i/>
          <w:iCs/>
          <w:sz w:val="20"/>
          <w:szCs w:val="20"/>
        </w:rPr>
        <w:t xml:space="preserve"> opracowywanego od kilku lat przez</w:t>
      </w:r>
      <w:r w:rsidRPr="00246234">
        <w:rPr>
          <w:rFonts w:cstheme="minorHAnsi"/>
          <w:i/>
          <w:iCs/>
          <w:sz w:val="20"/>
          <w:szCs w:val="20"/>
        </w:rPr>
        <w:t xml:space="preserve"> Cushman &amp; Wakefield i Antal</w:t>
      </w:r>
      <w:r>
        <w:rPr>
          <w:rFonts w:cstheme="minorHAnsi"/>
          <w:i/>
          <w:iCs/>
          <w:sz w:val="20"/>
          <w:szCs w:val="20"/>
        </w:rPr>
        <w:t>,</w:t>
      </w:r>
      <w:r w:rsidRPr="00246234">
        <w:rPr>
          <w:rFonts w:cstheme="minorHAnsi"/>
          <w:i/>
          <w:iCs/>
          <w:sz w:val="20"/>
          <w:szCs w:val="20"/>
        </w:rPr>
        <w:t xml:space="preserve"> wskazują, że firmy działające w Polsce prezentują bardziej optymistyczne podejście do planowania przestrzeni niż średnia globalna. 18,2% organizacji planuje bowiem zwiększenie zajmowanej powierzchni</w:t>
      </w:r>
      <w:r>
        <w:rPr>
          <w:rFonts w:cstheme="minorHAnsi"/>
          <w:i/>
          <w:iCs/>
          <w:sz w:val="20"/>
          <w:szCs w:val="20"/>
        </w:rPr>
        <w:t xml:space="preserve">, co stanowi </w:t>
      </w:r>
      <w:r w:rsidRPr="00246234">
        <w:rPr>
          <w:rFonts w:cstheme="minorHAnsi"/>
          <w:i/>
          <w:iCs/>
          <w:sz w:val="20"/>
          <w:szCs w:val="20"/>
        </w:rPr>
        <w:t xml:space="preserve">o około 43% </w:t>
      </w:r>
      <w:r>
        <w:rPr>
          <w:rFonts w:cstheme="minorHAnsi"/>
          <w:i/>
          <w:iCs/>
          <w:sz w:val="20"/>
          <w:szCs w:val="20"/>
        </w:rPr>
        <w:t>wyższy</w:t>
      </w:r>
      <w:r w:rsidRPr="00246234">
        <w:rPr>
          <w:rFonts w:cstheme="minorHAnsi"/>
          <w:i/>
          <w:iCs/>
          <w:sz w:val="20"/>
          <w:szCs w:val="20"/>
        </w:rPr>
        <w:t xml:space="preserve"> odsetek</w:t>
      </w:r>
      <w:r>
        <w:rPr>
          <w:rFonts w:cstheme="minorHAnsi"/>
          <w:i/>
          <w:iCs/>
          <w:sz w:val="20"/>
          <w:szCs w:val="20"/>
        </w:rPr>
        <w:t>, aniżeli</w:t>
      </w:r>
      <w:r w:rsidRPr="00246234">
        <w:rPr>
          <w:rFonts w:cstheme="minorHAnsi"/>
          <w:i/>
          <w:iCs/>
          <w:sz w:val="20"/>
          <w:szCs w:val="20"/>
        </w:rPr>
        <w:t xml:space="preserve"> firm planując</w:t>
      </w:r>
      <w:r>
        <w:rPr>
          <w:rFonts w:cstheme="minorHAnsi"/>
          <w:i/>
          <w:iCs/>
          <w:sz w:val="20"/>
          <w:szCs w:val="20"/>
        </w:rPr>
        <w:t>e</w:t>
      </w:r>
      <w:r w:rsidRPr="00246234">
        <w:rPr>
          <w:rFonts w:cstheme="minorHAnsi"/>
          <w:i/>
          <w:iCs/>
          <w:sz w:val="20"/>
          <w:szCs w:val="20"/>
        </w:rPr>
        <w:t xml:space="preserve"> jej redukcję (12,7%). </w:t>
      </w:r>
      <w:r>
        <w:rPr>
          <w:rFonts w:cstheme="minorHAnsi"/>
          <w:i/>
          <w:iCs/>
          <w:sz w:val="20"/>
          <w:szCs w:val="20"/>
        </w:rPr>
        <w:t xml:space="preserve">Przeważająca część ankietowanych </w:t>
      </w:r>
      <w:r w:rsidRPr="00246234">
        <w:rPr>
          <w:rFonts w:cstheme="minorHAnsi"/>
          <w:i/>
          <w:iCs/>
          <w:sz w:val="20"/>
          <w:szCs w:val="20"/>
        </w:rPr>
        <w:t>– średnio aż 45% – deklaruje z kolei chęć utrzymania dotychczasowej powierzchni biurowej</w:t>
      </w:r>
      <w:r>
        <w:rPr>
          <w:rFonts w:cstheme="minorHAnsi"/>
          <w:sz w:val="20"/>
          <w:szCs w:val="20"/>
        </w:rPr>
        <w:t xml:space="preserve"> – komentuje </w:t>
      </w:r>
      <w:r w:rsidRPr="00246234">
        <w:rPr>
          <w:rFonts w:cstheme="minorHAnsi"/>
          <w:b/>
          <w:bCs/>
          <w:sz w:val="20"/>
          <w:szCs w:val="20"/>
        </w:rPr>
        <w:t>Ewa Derlatka Chilewicz</w:t>
      </w:r>
      <w:r>
        <w:rPr>
          <w:rFonts w:cstheme="minorHAnsi"/>
          <w:b/>
          <w:bCs/>
          <w:sz w:val="20"/>
          <w:szCs w:val="20"/>
        </w:rPr>
        <w:t xml:space="preserve">, </w:t>
      </w:r>
      <w:proofErr w:type="spellStart"/>
      <w:r w:rsidRPr="007155FD">
        <w:rPr>
          <w:rFonts w:cstheme="minorHAnsi"/>
          <w:b/>
          <w:bCs/>
          <w:sz w:val="20"/>
          <w:szCs w:val="20"/>
        </w:rPr>
        <w:t>Head</w:t>
      </w:r>
      <w:proofErr w:type="spellEnd"/>
      <w:r w:rsidRPr="007155FD">
        <w:rPr>
          <w:rFonts w:cstheme="minorHAnsi"/>
          <w:b/>
          <w:bCs/>
          <w:sz w:val="20"/>
          <w:szCs w:val="20"/>
        </w:rPr>
        <w:t xml:space="preserve"> of </w:t>
      </w:r>
      <w:proofErr w:type="spellStart"/>
      <w:r w:rsidRPr="007155FD">
        <w:rPr>
          <w:rFonts w:cstheme="minorHAnsi"/>
          <w:b/>
          <w:bCs/>
          <w:sz w:val="20"/>
          <w:szCs w:val="20"/>
        </w:rPr>
        <w:t>Research</w:t>
      </w:r>
      <w:proofErr w:type="spellEnd"/>
      <w:r w:rsidRPr="007155FD">
        <w:rPr>
          <w:rFonts w:cstheme="minorHAnsi"/>
          <w:b/>
          <w:bCs/>
          <w:sz w:val="20"/>
          <w:szCs w:val="20"/>
        </w:rPr>
        <w:t>, Cushman &amp; Wakefield</w:t>
      </w:r>
      <w:r w:rsidRPr="00246234">
        <w:rPr>
          <w:rFonts w:cstheme="minorHAnsi"/>
          <w:b/>
          <w:bCs/>
          <w:sz w:val="20"/>
          <w:szCs w:val="20"/>
        </w:rPr>
        <w:t xml:space="preserve">. </w:t>
      </w:r>
    </w:p>
    <w:p w14:paraId="346DDD44" w14:textId="77777777" w:rsidR="00FE7B2E" w:rsidRPr="004C079C" w:rsidRDefault="00FE7B2E" w:rsidP="00FE7B2E">
      <w:pPr>
        <w:spacing w:after="120" w:line="240" w:lineRule="auto"/>
        <w:jc w:val="both"/>
        <w:rPr>
          <w:rFonts w:cstheme="minorHAnsi"/>
          <w:sz w:val="20"/>
          <w:szCs w:val="20"/>
        </w:rPr>
      </w:pPr>
      <w:r w:rsidRPr="004C079C">
        <w:rPr>
          <w:rFonts w:cstheme="minorHAnsi"/>
          <w:sz w:val="20"/>
          <w:szCs w:val="20"/>
        </w:rPr>
        <w:lastRenderedPageBreak/>
        <w:t xml:space="preserve">Jednocześnie średnia wielkość nowo podpisywanych </w:t>
      </w:r>
      <w:r>
        <w:rPr>
          <w:rFonts w:cstheme="minorHAnsi"/>
          <w:sz w:val="20"/>
          <w:szCs w:val="20"/>
        </w:rPr>
        <w:t xml:space="preserve">globalnie </w:t>
      </w:r>
      <w:r w:rsidRPr="004C079C">
        <w:rPr>
          <w:rFonts w:cstheme="minorHAnsi"/>
          <w:sz w:val="20"/>
          <w:szCs w:val="20"/>
        </w:rPr>
        <w:t>umów najmu</w:t>
      </w:r>
      <w:r>
        <w:rPr>
          <w:rFonts w:cstheme="minorHAnsi"/>
          <w:sz w:val="20"/>
          <w:szCs w:val="20"/>
        </w:rPr>
        <w:t>, jak pokazuje raport „</w:t>
      </w:r>
      <w:proofErr w:type="spellStart"/>
      <w:r>
        <w:rPr>
          <w:rFonts w:cstheme="minorHAnsi"/>
          <w:sz w:val="20"/>
          <w:szCs w:val="20"/>
        </w:rPr>
        <w:t>What</w:t>
      </w:r>
      <w:proofErr w:type="spellEnd"/>
      <w:r>
        <w:rPr>
          <w:rFonts w:cstheme="minorHAnsi"/>
          <w:sz w:val="20"/>
          <w:szCs w:val="20"/>
        </w:rPr>
        <w:t xml:space="preserve"> </w:t>
      </w:r>
      <w:proofErr w:type="spellStart"/>
      <w:r>
        <w:rPr>
          <w:rFonts w:cstheme="minorHAnsi"/>
          <w:sz w:val="20"/>
          <w:szCs w:val="20"/>
        </w:rPr>
        <w:t>occupiers</w:t>
      </w:r>
      <w:proofErr w:type="spellEnd"/>
      <w:r>
        <w:rPr>
          <w:rFonts w:cstheme="minorHAnsi"/>
          <w:sz w:val="20"/>
          <w:szCs w:val="20"/>
        </w:rPr>
        <w:t xml:space="preserve"> want”,</w:t>
      </w:r>
      <w:r w:rsidRPr="004C079C">
        <w:rPr>
          <w:rFonts w:cstheme="minorHAnsi"/>
          <w:sz w:val="20"/>
          <w:szCs w:val="20"/>
        </w:rPr>
        <w:t xml:space="preserve"> wzrosła od 2023 roku o 13%.</w:t>
      </w:r>
    </w:p>
    <w:p w14:paraId="75CE40A8" w14:textId="77777777" w:rsidR="00FE7B2E" w:rsidRPr="00941F5D" w:rsidRDefault="00FE7B2E" w:rsidP="00FE7B2E">
      <w:pPr>
        <w:spacing w:line="240" w:lineRule="auto"/>
        <w:jc w:val="both"/>
        <w:rPr>
          <w:rFonts w:cstheme="minorHAnsi"/>
          <w:b/>
          <w:bCs/>
          <w:sz w:val="20"/>
          <w:szCs w:val="20"/>
        </w:rPr>
      </w:pPr>
      <w:r>
        <w:rPr>
          <w:rFonts w:cstheme="minorHAnsi"/>
          <w:sz w:val="20"/>
          <w:szCs w:val="20"/>
        </w:rPr>
        <w:t xml:space="preserve">– </w:t>
      </w:r>
      <w:r w:rsidRPr="00727755">
        <w:rPr>
          <w:rFonts w:cstheme="minorHAnsi"/>
          <w:i/>
          <w:iCs/>
          <w:sz w:val="20"/>
          <w:szCs w:val="20"/>
        </w:rPr>
        <w:t xml:space="preserve">W 2024 roku średnia wielkość umowy najmu w Polsce wyniosła z kolei około 1100 mkw., co oznacza </w:t>
      </w:r>
      <w:r>
        <w:rPr>
          <w:rFonts w:cstheme="minorHAnsi"/>
          <w:i/>
          <w:iCs/>
          <w:sz w:val="20"/>
          <w:szCs w:val="20"/>
        </w:rPr>
        <w:t xml:space="preserve">mocno </w:t>
      </w:r>
      <w:r w:rsidRPr="00727755">
        <w:rPr>
          <w:rFonts w:cstheme="minorHAnsi"/>
          <w:i/>
          <w:iCs/>
          <w:sz w:val="20"/>
          <w:szCs w:val="20"/>
        </w:rPr>
        <w:t xml:space="preserve">umiarkowany, </w:t>
      </w:r>
      <w:r>
        <w:rPr>
          <w:rFonts w:cstheme="minorHAnsi"/>
          <w:i/>
          <w:iCs/>
          <w:sz w:val="20"/>
          <w:szCs w:val="20"/>
        </w:rPr>
        <w:t xml:space="preserve">bo </w:t>
      </w:r>
      <w:r w:rsidRPr="00727755">
        <w:rPr>
          <w:rFonts w:cstheme="minorHAnsi"/>
          <w:i/>
          <w:iCs/>
          <w:sz w:val="20"/>
          <w:szCs w:val="20"/>
        </w:rPr>
        <w:t>wynoszący ok. 9% wzrost w porównaniu do lat 2022–2023. Wciąż jednak poziom ten pozostaje poniżej wartości notowanych przed 2020 rokiem, gdy przeciętna transakcja opiewała na 1300–1500 mkw. powierzchni biurowej. Warto również zaznaczyć, że od 2022 roku obserwujemy stopniowe wyrównywanie się średnich wielkości umów zawieranych w Warszawie i na rynkach regionalnych</w:t>
      </w:r>
      <w:r>
        <w:rPr>
          <w:rFonts w:cstheme="minorHAnsi"/>
          <w:i/>
          <w:iCs/>
          <w:sz w:val="20"/>
          <w:szCs w:val="20"/>
        </w:rPr>
        <w:t>, chociaż wcześniej te zawierane poza stolicą były średnio większe</w:t>
      </w:r>
      <w:r>
        <w:rPr>
          <w:rFonts w:cstheme="minorHAnsi"/>
          <w:sz w:val="20"/>
          <w:szCs w:val="20"/>
        </w:rPr>
        <w:t xml:space="preserve"> – komentuje </w:t>
      </w:r>
      <w:r w:rsidRPr="00941F5D">
        <w:rPr>
          <w:rFonts w:cstheme="minorHAnsi"/>
          <w:b/>
          <w:bCs/>
          <w:sz w:val="20"/>
          <w:szCs w:val="20"/>
        </w:rPr>
        <w:t xml:space="preserve">Joanna </w:t>
      </w:r>
      <w:proofErr w:type="spellStart"/>
      <w:r w:rsidRPr="00941F5D">
        <w:rPr>
          <w:rFonts w:cstheme="minorHAnsi"/>
          <w:b/>
          <w:bCs/>
          <w:sz w:val="20"/>
          <w:szCs w:val="20"/>
        </w:rPr>
        <w:t>Blumert</w:t>
      </w:r>
      <w:proofErr w:type="spellEnd"/>
      <w:r w:rsidRPr="00941F5D">
        <w:rPr>
          <w:rFonts w:cstheme="minorHAnsi"/>
          <w:b/>
          <w:bCs/>
          <w:sz w:val="20"/>
          <w:szCs w:val="20"/>
        </w:rPr>
        <w:t xml:space="preserve">, </w:t>
      </w:r>
      <w:proofErr w:type="spellStart"/>
      <w:r w:rsidRPr="00941F5D">
        <w:rPr>
          <w:rFonts w:cstheme="minorHAnsi"/>
          <w:b/>
          <w:bCs/>
          <w:sz w:val="20"/>
          <w:szCs w:val="20"/>
        </w:rPr>
        <w:t>Head</w:t>
      </w:r>
      <w:proofErr w:type="spellEnd"/>
      <w:r w:rsidRPr="00941F5D">
        <w:rPr>
          <w:rFonts w:cstheme="minorHAnsi"/>
          <w:b/>
          <w:bCs/>
          <w:sz w:val="20"/>
          <w:szCs w:val="20"/>
        </w:rPr>
        <w:t xml:space="preserve"> of </w:t>
      </w:r>
      <w:proofErr w:type="spellStart"/>
      <w:r w:rsidRPr="00941F5D">
        <w:rPr>
          <w:rFonts w:cstheme="minorHAnsi"/>
          <w:b/>
          <w:bCs/>
          <w:sz w:val="20"/>
          <w:szCs w:val="20"/>
        </w:rPr>
        <w:t>Occupier</w:t>
      </w:r>
      <w:proofErr w:type="spellEnd"/>
      <w:r w:rsidRPr="00941F5D">
        <w:rPr>
          <w:rFonts w:cstheme="minorHAnsi"/>
          <w:b/>
          <w:bCs/>
          <w:sz w:val="20"/>
          <w:szCs w:val="20"/>
        </w:rPr>
        <w:t xml:space="preserve"> Services, Cushman &amp; Wakefield.</w:t>
      </w:r>
    </w:p>
    <w:p w14:paraId="04936DC3" w14:textId="77777777" w:rsidR="00FE7B2E" w:rsidRPr="004C079C" w:rsidRDefault="00FE7B2E" w:rsidP="00FE7B2E">
      <w:pPr>
        <w:spacing w:after="120" w:line="288" w:lineRule="auto"/>
        <w:rPr>
          <w:rFonts w:cstheme="minorHAnsi"/>
          <w:b/>
          <w:bCs/>
          <w:sz w:val="20"/>
          <w:szCs w:val="20"/>
        </w:rPr>
      </w:pPr>
      <w:r>
        <w:rPr>
          <w:rFonts w:cstheme="minorHAnsi"/>
          <w:b/>
          <w:bCs/>
          <w:sz w:val="20"/>
          <w:szCs w:val="20"/>
        </w:rPr>
        <w:t>Nieruchomości idą w parze ze strategiami HR</w:t>
      </w:r>
    </w:p>
    <w:p w14:paraId="26E687B7" w14:textId="77777777" w:rsidR="00FE7B2E" w:rsidRPr="009216CF" w:rsidRDefault="00FE7B2E" w:rsidP="00FE7B2E">
      <w:pPr>
        <w:spacing w:after="120" w:line="240" w:lineRule="auto"/>
        <w:jc w:val="both"/>
        <w:rPr>
          <w:rFonts w:cstheme="minorHAnsi"/>
          <w:sz w:val="20"/>
          <w:szCs w:val="20"/>
        </w:rPr>
      </w:pPr>
      <w:r w:rsidRPr="00660FB2">
        <w:rPr>
          <w:rFonts w:cstheme="minorHAnsi"/>
          <w:sz w:val="20"/>
          <w:szCs w:val="20"/>
        </w:rPr>
        <w:t>Zaskakujące może być to, że aż 29% firm, które ostatnio zmieniły sposób raportowania kwestii związanych z nieruchomościami korporacyjnymi, wskazuje dziś na współpracę zespołów ds. nieruchomości z działami HR.</w:t>
      </w:r>
    </w:p>
    <w:p w14:paraId="74F141F5" w14:textId="77777777" w:rsidR="00FE7B2E" w:rsidRPr="004C079C" w:rsidRDefault="00FE7B2E" w:rsidP="00FE7B2E">
      <w:pPr>
        <w:spacing w:line="240" w:lineRule="auto"/>
        <w:jc w:val="both"/>
        <w:rPr>
          <w:rFonts w:cstheme="minorHAnsi"/>
          <w:sz w:val="20"/>
          <w:szCs w:val="20"/>
        </w:rPr>
      </w:pPr>
      <w:r w:rsidRPr="004C079C">
        <w:rPr>
          <w:rFonts w:cstheme="minorHAnsi"/>
          <w:sz w:val="20"/>
          <w:szCs w:val="20"/>
        </w:rPr>
        <w:t xml:space="preserve">– </w:t>
      </w:r>
      <w:r w:rsidRPr="00951128">
        <w:rPr>
          <w:rFonts w:cstheme="minorHAnsi"/>
          <w:i/>
          <w:iCs/>
          <w:sz w:val="20"/>
          <w:szCs w:val="20"/>
        </w:rPr>
        <w:t>Przeprowadzone badanie pokazuje, że choć dyscyplina kosztowa nadal ma kluczowe znaczenie, organizacje coraz częściej dostrzegają bezpośredni wpływ decyzji dotyczących nieruchomości na komfort pracy, zaangażowanie pracowników oraz ogólną efektywność biznesową</w:t>
      </w:r>
      <w:r w:rsidRPr="004C079C">
        <w:rPr>
          <w:rFonts w:cstheme="minorHAnsi"/>
          <w:sz w:val="20"/>
          <w:szCs w:val="20"/>
        </w:rPr>
        <w:t xml:space="preserve"> – mówi </w:t>
      </w:r>
      <w:proofErr w:type="spellStart"/>
      <w:r w:rsidRPr="00951128">
        <w:rPr>
          <w:rFonts w:cstheme="minorHAnsi"/>
          <w:b/>
          <w:bCs/>
          <w:sz w:val="20"/>
          <w:szCs w:val="20"/>
        </w:rPr>
        <w:t>Despina</w:t>
      </w:r>
      <w:proofErr w:type="spellEnd"/>
      <w:r w:rsidRPr="00951128">
        <w:rPr>
          <w:rFonts w:cstheme="minorHAnsi"/>
          <w:b/>
          <w:bCs/>
          <w:sz w:val="20"/>
          <w:szCs w:val="20"/>
        </w:rPr>
        <w:t xml:space="preserve"> </w:t>
      </w:r>
      <w:proofErr w:type="spellStart"/>
      <w:r w:rsidRPr="00951128">
        <w:rPr>
          <w:rFonts w:cstheme="minorHAnsi"/>
          <w:b/>
          <w:bCs/>
          <w:sz w:val="20"/>
          <w:szCs w:val="20"/>
        </w:rPr>
        <w:t>Katsikakis</w:t>
      </w:r>
      <w:proofErr w:type="spellEnd"/>
      <w:r w:rsidRPr="00951128">
        <w:rPr>
          <w:rFonts w:cstheme="minorHAnsi"/>
          <w:b/>
          <w:bCs/>
          <w:sz w:val="20"/>
          <w:szCs w:val="20"/>
        </w:rPr>
        <w:t xml:space="preserve">, Global </w:t>
      </w:r>
      <w:proofErr w:type="spellStart"/>
      <w:r w:rsidRPr="00951128">
        <w:rPr>
          <w:rFonts w:cstheme="minorHAnsi"/>
          <w:b/>
          <w:bCs/>
          <w:sz w:val="20"/>
          <w:szCs w:val="20"/>
        </w:rPr>
        <w:t>Lead</w:t>
      </w:r>
      <w:proofErr w:type="spellEnd"/>
      <w:r w:rsidRPr="00951128">
        <w:rPr>
          <w:rFonts w:cstheme="minorHAnsi"/>
          <w:b/>
          <w:bCs/>
          <w:sz w:val="20"/>
          <w:szCs w:val="20"/>
        </w:rPr>
        <w:t xml:space="preserve">, dział Total </w:t>
      </w:r>
      <w:proofErr w:type="spellStart"/>
      <w:r w:rsidRPr="00951128">
        <w:rPr>
          <w:rFonts w:cstheme="minorHAnsi"/>
          <w:b/>
          <w:bCs/>
          <w:sz w:val="20"/>
          <w:szCs w:val="20"/>
        </w:rPr>
        <w:t>Workplace</w:t>
      </w:r>
      <w:proofErr w:type="spellEnd"/>
      <w:r w:rsidRPr="00951128">
        <w:rPr>
          <w:rFonts w:cstheme="minorHAnsi"/>
          <w:b/>
          <w:bCs/>
          <w:sz w:val="20"/>
          <w:szCs w:val="20"/>
        </w:rPr>
        <w:t xml:space="preserve"> Consulting w Cushman &amp; Wakefield.</w:t>
      </w:r>
      <w:r w:rsidRPr="004C079C">
        <w:rPr>
          <w:rFonts w:cstheme="minorHAnsi"/>
          <w:sz w:val="20"/>
          <w:szCs w:val="20"/>
        </w:rPr>
        <w:t xml:space="preserve"> – </w:t>
      </w:r>
      <w:r w:rsidRPr="00951128">
        <w:rPr>
          <w:rFonts w:cstheme="minorHAnsi"/>
          <w:i/>
          <w:iCs/>
          <w:sz w:val="20"/>
          <w:szCs w:val="20"/>
        </w:rPr>
        <w:t>Mając to na uwadze, dyrektorzy odpowiedzialni za nieruchomości korporacyjne mogą kształtować strategie w taki sposób, aby przynosiły one zarówno efekty finansowe, jak i korzyści dla pracowników –</w:t>
      </w:r>
      <w:r w:rsidRPr="004C079C">
        <w:rPr>
          <w:rFonts w:cstheme="minorHAnsi"/>
          <w:sz w:val="20"/>
          <w:szCs w:val="20"/>
        </w:rPr>
        <w:t xml:space="preserve"> dodaje ekspertka.</w:t>
      </w:r>
    </w:p>
    <w:p w14:paraId="667C42F8" w14:textId="77777777" w:rsidR="00FE7B2E" w:rsidRDefault="00FE7B2E" w:rsidP="00FE7B2E">
      <w:pPr>
        <w:spacing w:after="120" w:line="240" w:lineRule="auto"/>
        <w:jc w:val="both"/>
        <w:rPr>
          <w:rFonts w:cstheme="minorHAnsi"/>
          <w:sz w:val="20"/>
          <w:szCs w:val="20"/>
        </w:rPr>
      </w:pPr>
      <w:r w:rsidRPr="004E427D">
        <w:rPr>
          <w:rFonts w:cstheme="minorHAnsi"/>
          <w:sz w:val="20"/>
          <w:szCs w:val="20"/>
        </w:rPr>
        <w:t>Chociaż finanse pozostają kluczowe, raport podkreśla rosnącą potrzebę strategii, która zmniejszy rozdźwięk między kontrolą kosztów a tworzeniem wartościowego środowiska pracy. Ta zmiana myślenia bezpośrednio przekłada się na wskaźniki obłożenia biur. Ich stabilizacja na poziomie 51-60% w skali globalnej nie jest jednak wynikiem odgórnego nakazu powrotu, lecz poszukiwania nowej, bardziej świadomej równowagi. W Polsce obserwujemy całą mozaikę podejść: od organizacji stawiających na elastyczność i pracę zadaniową, po te, które organizują obecność w biurze wokół kluczowych dni projektowych czy spotkań budujących kulturę. Systematyczny, choć niegwałtowny, wzrost wykorzystania przestrzeni świadczy więc nie o końcu elastyczności, a o jej dojrzalszej, bardziej celowej formie, gdzie biuro staje się narzędziem do realizacji konkretnych zadań.</w:t>
      </w:r>
    </w:p>
    <w:p w14:paraId="482224BF" w14:textId="77777777" w:rsidR="00FE7B2E" w:rsidRDefault="00FE7B2E" w:rsidP="00FE7B2E">
      <w:pPr>
        <w:spacing w:after="120" w:line="240" w:lineRule="auto"/>
        <w:jc w:val="both"/>
        <w:rPr>
          <w:rFonts w:cstheme="minorHAnsi"/>
          <w:b/>
          <w:bCs/>
          <w:sz w:val="20"/>
          <w:szCs w:val="20"/>
        </w:rPr>
      </w:pPr>
      <w:r>
        <w:rPr>
          <w:rFonts w:cstheme="minorHAnsi"/>
          <w:i/>
          <w:iCs/>
          <w:sz w:val="20"/>
          <w:szCs w:val="20"/>
        </w:rPr>
        <w:t>–</w:t>
      </w:r>
      <w:r w:rsidRPr="004E427D">
        <w:rPr>
          <w:rFonts w:cstheme="minorHAnsi"/>
          <w:i/>
          <w:iCs/>
          <w:sz w:val="20"/>
          <w:szCs w:val="20"/>
        </w:rPr>
        <w:t xml:space="preserve"> Wskaźniki obłożenia biur na poziomie 50-60% to obecnie najważniejsza i jednocześnie najbardziej myląca metryka na rynku.</w:t>
      </w:r>
      <w:r>
        <w:rPr>
          <w:rFonts w:cstheme="minorHAnsi"/>
          <w:i/>
          <w:iCs/>
          <w:sz w:val="20"/>
          <w:szCs w:val="20"/>
        </w:rPr>
        <w:t xml:space="preserve"> Rzeczywistość jest pełna niuansów, szczególnie na polskim rynku. O</w:t>
      </w:r>
      <w:r w:rsidRPr="004E427D">
        <w:rPr>
          <w:rFonts w:cstheme="minorHAnsi"/>
          <w:i/>
          <w:iCs/>
          <w:sz w:val="20"/>
          <w:szCs w:val="20"/>
        </w:rPr>
        <w:t xml:space="preserve">bserwuję </w:t>
      </w:r>
      <w:r>
        <w:rPr>
          <w:rFonts w:cstheme="minorHAnsi"/>
          <w:i/>
          <w:iCs/>
          <w:sz w:val="20"/>
          <w:szCs w:val="20"/>
        </w:rPr>
        <w:t>organizacje</w:t>
      </w:r>
      <w:r w:rsidRPr="004E427D">
        <w:rPr>
          <w:rFonts w:cstheme="minorHAnsi"/>
          <w:i/>
          <w:iCs/>
          <w:sz w:val="20"/>
          <w:szCs w:val="20"/>
        </w:rPr>
        <w:t>, u których maksymalne obłożenie w</w:t>
      </w:r>
      <w:r>
        <w:rPr>
          <w:rFonts w:cstheme="minorHAnsi"/>
          <w:i/>
          <w:iCs/>
          <w:sz w:val="20"/>
          <w:szCs w:val="20"/>
        </w:rPr>
        <w:t xml:space="preserve"> tygodniu </w:t>
      </w:r>
      <w:r w:rsidRPr="004E427D">
        <w:rPr>
          <w:rFonts w:cstheme="minorHAnsi"/>
          <w:i/>
          <w:iCs/>
          <w:sz w:val="20"/>
          <w:szCs w:val="20"/>
        </w:rPr>
        <w:t>sięga 84%</w:t>
      </w:r>
      <w:r>
        <w:rPr>
          <w:rFonts w:cstheme="minorHAnsi"/>
          <w:i/>
          <w:iCs/>
          <w:sz w:val="20"/>
          <w:szCs w:val="20"/>
        </w:rPr>
        <w:t xml:space="preserve">, a minimalne </w:t>
      </w:r>
      <w:r w:rsidRPr="004E427D">
        <w:rPr>
          <w:rFonts w:cstheme="minorHAnsi"/>
          <w:i/>
          <w:iCs/>
          <w:sz w:val="20"/>
          <w:szCs w:val="20"/>
        </w:rPr>
        <w:t>30%.</w:t>
      </w:r>
      <w:r>
        <w:rPr>
          <w:rFonts w:cstheme="minorHAnsi"/>
          <w:i/>
          <w:iCs/>
          <w:sz w:val="20"/>
          <w:szCs w:val="20"/>
        </w:rPr>
        <w:t xml:space="preserve"> </w:t>
      </w:r>
      <w:r w:rsidRPr="004E427D">
        <w:rPr>
          <w:rFonts w:cstheme="minorHAnsi"/>
          <w:i/>
          <w:iCs/>
          <w:sz w:val="20"/>
          <w:szCs w:val="20"/>
        </w:rPr>
        <w:t xml:space="preserve">Jeszcze ciekawszy obraz wyłania się, gdy porównamy firmy z identyczną, oficjalną polityką </w:t>
      </w:r>
      <w:r>
        <w:rPr>
          <w:rFonts w:cstheme="minorHAnsi"/>
          <w:i/>
          <w:iCs/>
          <w:sz w:val="20"/>
          <w:szCs w:val="20"/>
        </w:rPr>
        <w:t xml:space="preserve">pracy hybrydowej </w:t>
      </w:r>
      <w:r w:rsidRPr="004E427D">
        <w:rPr>
          <w:rFonts w:cstheme="minorHAnsi"/>
          <w:i/>
          <w:iCs/>
          <w:sz w:val="20"/>
          <w:szCs w:val="20"/>
        </w:rPr>
        <w:t>– na przykład wymogiem 3 dni pracy z biura. U jedneg</w:t>
      </w:r>
      <w:r>
        <w:rPr>
          <w:rFonts w:cstheme="minorHAnsi"/>
          <w:i/>
          <w:iCs/>
          <w:sz w:val="20"/>
          <w:szCs w:val="20"/>
        </w:rPr>
        <w:t>o z naszych klientów</w:t>
      </w:r>
      <w:r w:rsidRPr="004E427D">
        <w:rPr>
          <w:rFonts w:cstheme="minorHAnsi"/>
          <w:i/>
          <w:iCs/>
          <w:sz w:val="20"/>
          <w:szCs w:val="20"/>
        </w:rPr>
        <w:t xml:space="preserve"> realna frekwencja oscyluje wokół 7</w:t>
      </w:r>
      <w:r>
        <w:rPr>
          <w:rFonts w:cstheme="minorHAnsi"/>
          <w:i/>
          <w:iCs/>
          <w:sz w:val="20"/>
          <w:szCs w:val="20"/>
        </w:rPr>
        <w:t>5</w:t>
      </w:r>
      <w:r w:rsidRPr="004E427D">
        <w:rPr>
          <w:rFonts w:cstheme="minorHAnsi"/>
          <w:i/>
          <w:iCs/>
          <w:sz w:val="20"/>
          <w:szCs w:val="20"/>
        </w:rPr>
        <w:t>%, u innego z trudem osiąga 50%.</w:t>
      </w:r>
      <w:r>
        <w:rPr>
          <w:rFonts w:cstheme="minorHAnsi"/>
          <w:i/>
          <w:iCs/>
          <w:sz w:val="20"/>
          <w:szCs w:val="20"/>
        </w:rPr>
        <w:t xml:space="preserve"> </w:t>
      </w:r>
      <w:r w:rsidRPr="004E427D">
        <w:rPr>
          <w:rFonts w:cstheme="minorHAnsi"/>
          <w:i/>
          <w:iCs/>
          <w:sz w:val="20"/>
          <w:szCs w:val="20"/>
        </w:rPr>
        <w:t xml:space="preserve">To jest właśnie moment, w którym </w:t>
      </w:r>
      <w:r>
        <w:rPr>
          <w:rFonts w:cstheme="minorHAnsi"/>
          <w:i/>
          <w:iCs/>
          <w:sz w:val="20"/>
          <w:szCs w:val="20"/>
        </w:rPr>
        <w:t>liczy się</w:t>
      </w:r>
      <w:r w:rsidRPr="004E427D">
        <w:rPr>
          <w:rFonts w:cstheme="minorHAnsi"/>
          <w:i/>
          <w:iCs/>
          <w:sz w:val="20"/>
          <w:szCs w:val="20"/>
        </w:rPr>
        <w:t xml:space="preserve"> psychologi</w:t>
      </w:r>
      <w:r>
        <w:rPr>
          <w:rFonts w:cstheme="minorHAnsi"/>
          <w:i/>
          <w:iCs/>
          <w:sz w:val="20"/>
          <w:szCs w:val="20"/>
        </w:rPr>
        <w:t>a</w:t>
      </w:r>
      <w:r w:rsidRPr="004E427D">
        <w:rPr>
          <w:rFonts w:cstheme="minorHAnsi"/>
          <w:i/>
          <w:iCs/>
          <w:sz w:val="20"/>
          <w:szCs w:val="20"/>
        </w:rPr>
        <w:t xml:space="preserve"> organizacji i ekonomi</w:t>
      </w:r>
      <w:r>
        <w:rPr>
          <w:rFonts w:cstheme="minorHAnsi"/>
          <w:i/>
          <w:iCs/>
          <w:sz w:val="20"/>
          <w:szCs w:val="20"/>
        </w:rPr>
        <w:t>a</w:t>
      </w:r>
      <w:r w:rsidRPr="004E427D">
        <w:rPr>
          <w:rFonts w:cstheme="minorHAnsi"/>
          <w:i/>
          <w:iCs/>
          <w:sz w:val="20"/>
          <w:szCs w:val="20"/>
        </w:rPr>
        <w:t xml:space="preserve"> behawioraln</w:t>
      </w:r>
      <w:r>
        <w:rPr>
          <w:rFonts w:cstheme="minorHAnsi"/>
          <w:i/>
          <w:iCs/>
          <w:sz w:val="20"/>
          <w:szCs w:val="20"/>
        </w:rPr>
        <w:t>a</w:t>
      </w:r>
      <w:r w:rsidRPr="004E427D">
        <w:rPr>
          <w:rFonts w:cstheme="minorHAnsi"/>
          <w:i/>
          <w:iCs/>
          <w:sz w:val="20"/>
          <w:szCs w:val="20"/>
        </w:rPr>
        <w:t>.</w:t>
      </w:r>
      <w:r>
        <w:rPr>
          <w:rFonts w:cstheme="minorHAnsi"/>
          <w:i/>
          <w:iCs/>
          <w:sz w:val="20"/>
          <w:szCs w:val="20"/>
        </w:rPr>
        <w:t xml:space="preserve"> </w:t>
      </w:r>
      <w:r w:rsidRPr="004E427D">
        <w:rPr>
          <w:rFonts w:cstheme="minorHAnsi"/>
          <w:i/>
          <w:iCs/>
          <w:sz w:val="20"/>
          <w:szCs w:val="20"/>
        </w:rPr>
        <w:t xml:space="preserve">Właśnie dlatego, że temat jest tak złożony, a odpowiedź leży na styku wielu dziedzin, przy każdym projekcie tworzymy po stronie klienta interdyscyplinarny zespół. W jego skład wchodzą przedstawiciele HR, </w:t>
      </w:r>
      <w:r>
        <w:rPr>
          <w:rFonts w:cstheme="minorHAnsi"/>
          <w:i/>
          <w:iCs/>
          <w:sz w:val="20"/>
          <w:szCs w:val="20"/>
        </w:rPr>
        <w:t>k</w:t>
      </w:r>
      <w:r w:rsidRPr="004E427D">
        <w:rPr>
          <w:rFonts w:cstheme="minorHAnsi"/>
          <w:i/>
          <w:iCs/>
          <w:sz w:val="20"/>
          <w:szCs w:val="20"/>
        </w:rPr>
        <w:t xml:space="preserve">omunikacji, IT, CSR, </w:t>
      </w:r>
      <w:proofErr w:type="spellStart"/>
      <w:r>
        <w:rPr>
          <w:rFonts w:cstheme="minorHAnsi"/>
          <w:i/>
          <w:iCs/>
          <w:sz w:val="20"/>
          <w:szCs w:val="20"/>
        </w:rPr>
        <w:t>f</w:t>
      </w:r>
      <w:r w:rsidRPr="004E427D">
        <w:rPr>
          <w:rFonts w:cstheme="minorHAnsi"/>
          <w:i/>
          <w:iCs/>
          <w:sz w:val="20"/>
          <w:szCs w:val="20"/>
        </w:rPr>
        <w:t>acility</w:t>
      </w:r>
      <w:proofErr w:type="spellEnd"/>
      <w:r w:rsidRPr="004E427D">
        <w:rPr>
          <w:rFonts w:cstheme="minorHAnsi"/>
          <w:i/>
          <w:iCs/>
          <w:sz w:val="20"/>
          <w:szCs w:val="20"/>
        </w:rPr>
        <w:t xml:space="preserve"> </w:t>
      </w:r>
      <w:r>
        <w:rPr>
          <w:rFonts w:cstheme="minorHAnsi"/>
          <w:i/>
          <w:iCs/>
          <w:sz w:val="20"/>
          <w:szCs w:val="20"/>
        </w:rPr>
        <w:t>m</w:t>
      </w:r>
      <w:r w:rsidRPr="004E427D">
        <w:rPr>
          <w:rFonts w:cstheme="minorHAnsi"/>
          <w:i/>
          <w:iCs/>
          <w:sz w:val="20"/>
          <w:szCs w:val="20"/>
        </w:rPr>
        <w:t xml:space="preserve">anagementu, </w:t>
      </w:r>
      <w:r>
        <w:rPr>
          <w:rFonts w:cstheme="minorHAnsi"/>
          <w:i/>
          <w:iCs/>
          <w:sz w:val="20"/>
          <w:szCs w:val="20"/>
        </w:rPr>
        <w:t>a</w:t>
      </w:r>
      <w:r w:rsidRPr="004E427D">
        <w:rPr>
          <w:rFonts w:cstheme="minorHAnsi"/>
          <w:i/>
          <w:iCs/>
          <w:sz w:val="20"/>
          <w:szCs w:val="20"/>
        </w:rPr>
        <w:t xml:space="preserve">dministracji, </w:t>
      </w:r>
      <w:r>
        <w:rPr>
          <w:rFonts w:cstheme="minorHAnsi"/>
          <w:i/>
          <w:iCs/>
          <w:sz w:val="20"/>
          <w:szCs w:val="20"/>
        </w:rPr>
        <w:t>b</w:t>
      </w:r>
      <w:r w:rsidRPr="004E427D">
        <w:rPr>
          <w:rFonts w:cstheme="minorHAnsi"/>
          <w:i/>
          <w:iCs/>
          <w:sz w:val="20"/>
          <w:szCs w:val="20"/>
        </w:rPr>
        <w:t xml:space="preserve">ezpieczeństwa oraz, co najważniejsze, sami </w:t>
      </w:r>
      <w:r>
        <w:rPr>
          <w:rFonts w:cstheme="minorHAnsi"/>
          <w:i/>
          <w:iCs/>
          <w:sz w:val="20"/>
          <w:szCs w:val="20"/>
        </w:rPr>
        <w:t>l</w:t>
      </w:r>
      <w:r w:rsidRPr="004E427D">
        <w:rPr>
          <w:rFonts w:cstheme="minorHAnsi"/>
          <w:i/>
          <w:iCs/>
          <w:sz w:val="20"/>
          <w:szCs w:val="20"/>
        </w:rPr>
        <w:t xml:space="preserve">iderzy i reprezentanci </w:t>
      </w:r>
      <w:r>
        <w:rPr>
          <w:rFonts w:cstheme="minorHAnsi"/>
          <w:i/>
          <w:iCs/>
          <w:sz w:val="20"/>
          <w:szCs w:val="20"/>
        </w:rPr>
        <w:t>p</w:t>
      </w:r>
      <w:r w:rsidRPr="004E427D">
        <w:rPr>
          <w:rFonts w:cstheme="minorHAnsi"/>
          <w:i/>
          <w:iCs/>
          <w:sz w:val="20"/>
          <w:szCs w:val="20"/>
        </w:rPr>
        <w:t>racowników. Tylko taka holistyczna perspektywa pozwala stworzyć strategię, która działa w praktyce, a nie tylko na papierze</w:t>
      </w:r>
      <w:r>
        <w:rPr>
          <w:rFonts w:cstheme="minorHAnsi"/>
          <w:i/>
          <w:iCs/>
          <w:sz w:val="20"/>
          <w:szCs w:val="20"/>
        </w:rPr>
        <w:t xml:space="preserve"> – </w:t>
      </w:r>
      <w:r w:rsidRPr="004E427D">
        <w:rPr>
          <w:rFonts w:cstheme="minorHAnsi"/>
          <w:sz w:val="20"/>
          <w:szCs w:val="20"/>
        </w:rPr>
        <w:t>mówi</w:t>
      </w:r>
      <w:r>
        <w:rPr>
          <w:rFonts w:cstheme="minorHAnsi"/>
          <w:i/>
          <w:iCs/>
          <w:sz w:val="20"/>
          <w:szCs w:val="20"/>
        </w:rPr>
        <w:t xml:space="preserve"> </w:t>
      </w:r>
      <w:r w:rsidRPr="004E427D">
        <w:rPr>
          <w:rFonts w:cstheme="minorHAnsi"/>
          <w:b/>
          <w:bCs/>
          <w:sz w:val="20"/>
          <w:szCs w:val="20"/>
        </w:rPr>
        <w:t xml:space="preserve">Joanna Szczepańska, </w:t>
      </w:r>
      <w:proofErr w:type="spellStart"/>
      <w:r w:rsidRPr="004E427D">
        <w:rPr>
          <w:rFonts w:cstheme="minorHAnsi"/>
          <w:b/>
          <w:bCs/>
          <w:sz w:val="20"/>
          <w:szCs w:val="20"/>
        </w:rPr>
        <w:t>Associate</w:t>
      </w:r>
      <w:proofErr w:type="spellEnd"/>
      <w:r w:rsidRPr="004E427D">
        <w:rPr>
          <w:rFonts w:cstheme="minorHAnsi"/>
          <w:b/>
          <w:bCs/>
          <w:sz w:val="20"/>
          <w:szCs w:val="20"/>
        </w:rPr>
        <w:t xml:space="preserve"> w zespole Środowiska Pracy i Zarządzania Zmianą Cushman &amp; Wakefield.</w:t>
      </w:r>
    </w:p>
    <w:p w14:paraId="722E489C" w14:textId="77777777" w:rsidR="00FE7B2E" w:rsidRDefault="00FE7B2E" w:rsidP="00FE7B2E">
      <w:pPr>
        <w:spacing w:after="120" w:line="240" w:lineRule="auto"/>
        <w:jc w:val="both"/>
        <w:rPr>
          <w:rFonts w:cstheme="minorHAnsi"/>
          <w:i/>
          <w:iCs/>
          <w:sz w:val="20"/>
          <w:szCs w:val="20"/>
        </w:rPr>
      </w:pPr>
    </w:p>
    <w:p w14:paraId="60E88881" w14:textId="77777777" w:rsidR="00FE7B2E" w:rsidRPr="004C079C" w:rsidRDefault="00FE7B2E" w:rsidP="00FE7B2E">
      <w:pPr>
        <w:spacing w:after="120" w:line="240" w:lineRule="auto"/>
        <w:jc w:val="both"/>
        <w:rPr>
          <w:rFonts w:cstheme="minorHAnsi"/>
          <w:b/>
          <w:bCs/>
          <w:sz w:val="20"/>
          <w:szCs w:val="20"/>
        </w:rPr>
      </w:pPr>
      <w:r>
        <w:rPr>
          <w:rFonts w:cstheme="minorHAnsi"/>
          <w:b/>
          <w:bCs/>
          <w:sz w:val="20"/>
          <w:szCs w:val="20"/>
        </w:rPr>
        <w:lastRenderedPageBreak/>
        <w:t>B</w:t>
      </w:r>
      <w:r w:rsidRPr="004C079C">
        <w:rPr>
          <w:rFonts w:cstheme="minorHAnsi"/>
          <w:b/>
          <w:bCs/>
          <w:sz w:val="20"/>
          <w:szCs w:val="20"/>
        </w:rPr>
        <w:t>iuro staje się usługą</w:t>
      </w:r>
    </w:p>
    <w:p w14:paraId="53C9A3E4" w14:textId="77777777" w:rsidR="00FE7B2E" w:rsidRPr="004C079C" w:rsidRDefault="00FE7B2E" w:rsidP="00FE7B2E">
      <w:pPr>
        <w:spacing w:after="120" w:line="240" w:lineRule="auto"/>
        <w:jc w:val="both"/>
        <w:rPr>
          <w:rFonts w:cstheme="minorHAnsi"/>
          <w:sz w:val="20"/>
          <w:szCs w:val="20"/>
        </w:rPr>
      </w:pPr>
      <w:r>
        <w:rPr>
          <w:rFonts w:cstheme="minorHAnsi"/>
          <w:sz w:val="20"/>
          <w:szCs w:val="20"/>
        </w:rPr>
        <w:t>Badanie Cushman &amp; Wakefield wskazuje, że n</w:t>
      </w:r>
      <w:r w:rsidRPr="004C079C">
        <w:rPr>
          <w:rFonts w:cstheme="minorHAnsi"/>
          <w:sz w:val="20"/>
          <w:szCs w:val="20"/>
        </w:rPr>
        <w:t xml:space="preserve">ajemcy mają coraz większe wymagania w stosunku do </w:t>
      </w:r>
      <w:r>
        <w:rPr>
          <w:rFonts w:cstheme="minorHAnsi"/>
          <w:sz w:val="20"/>
          <w:szCs w:val="20"/>
        </w:rPr>
        <w:t>właścicieli i zarządców biurowców</w:t>
      </w:r>
      <w:r w:rsidRPr="004C079C">
        <w:rPr>
          <w:rFonts w:cstheme="minorHAnsi"/>
          <w:sz w:val="20"/>
          <w:szCs w:val="20"/>
        </w:rPr>
        <w:t xml:space="preserve"> – 85% z nich oczekuje lepszej oferty udogodnień, usług i warunków pracy, a niemal połowa (46%) jest gotowa zapłacić za to więcej.</w:t>
      </w:r>
      <w:r>
        <w:rPr>
          <w:rFonts w:cstheme="minorHAnsi"/>
          <w:sz w:val="20"/>
          <w:szCs w:val="20"/>
        </w:rPr>
        <w:t xml:space="preserve"> Tym bardziej, że </w:t>
      </w:r>
      <w:r w:rsidRPr="004C079C">
        <w:rPr>
          <w:rFonts w:cstheme="minorHAnsi"/>
          <w:sz w:val="20"/>
          <w:szCs w:val="20"/>
        </w:rPr>
        <w:t xml:space="preserve">tylko 60% pracowników uważa, że ich obecne środowisko pracy w pełni wspiera współpracę, podtrzymywanie więzi i budowanie kultury korporacyjnej, a </w:t>
      </w:r>
      <w:r>
        <w:rPr>
          <w:rFonts w:cstheme="minorHAnsi"/>
          <w:sz w:val="20"/>
          <w:szCs w:val="20"/>
        </w:rPr>
        <w:t xml:space="preserve">w praktyce </w:t>
      </w:r>
      <w:r w:rsidRPr="004C079C">
        <w:rPr>
          <w:rFonts w:cstheme="minorHAnsi"/>
          <w:sz w:val="20"/>
          <w:szCs w:val="20"/>
        </w:rPr>
        <w:t>są to kluczowe aspekty zachęcają</w:t>
      </w:r>
      <w:r>
        <w:rPr>
          <w:rFonts w:cstheme="minorHAnsi"/>
          <w:sz w:val="20"/>
          <w:szCs w:val="20"/>
        </w:rPr>
        <w:t>ce</w:t>
      </w:r>
      <w:r w:rsidRPr="004C079C">
        <w:rPr>
          <w:rFonts w:cstheme="minorHAnsi"/>
          <w:sz w:val="20"/>
          <w:szCs w:val="20"/>
        </w:rPr>
        <w:t xml:space="preserve"> do powrotu do biura.</w:t>
      </w:r>
    </w:p>
    <w:p w14:paraId="79A1324C" w14:textId="77777777" w:rsidR="00FE7B2E" w:rsidRDefault="00FE7B2E" w:rsidP="00FE7B2E">
      <w:pPr>
        <w:spacing w:after="120" w:line="240" w:lineRule="auto"/>
        <w:jc w:val="both"/>
        <w:rPr>
          <w:rFonts w:cstheme="minorHAnsi"/>
          <w:sz w:val="20"/>
          <w:szCs w:val="20"/>
        </w:rPr>
      </w:pPr>
      <w:r w:rsidRPr="006A5435">
        <w:rPr>
          <w:rFonts w:cstheme="minorHAnsi"/>
          <w:sz w:val="20"/>
          <w:szCs w:val="20"/>
        </w:rPr>
        <w:t>W efekcie</w:t>
      </w:r>
      <w:r>
        <w:rPr>
          <w:rFonts w:cstheme="minorHAnsi"/>
          <w:sz w:val="20"/>
          <w:szCs w:val="20"/>
        </w:rPr>
        <w:t>, jak wskazuje raport „</w:t>
      </w:r>
      <w:proofErr w:type="spellStart"/>
      <w:r>
        <w:rPr>
          <w:rFonts w:cstheme="minorHAnsi"/>
          <w:sz w:val="20"/>
          <w:szCs w:val="20"/>
        </w:rPr>
        <w:t>What</w:t>
      </w:r>
      <w:proofErr w:type="spellEnd"/>
      <w:r>
        <w:rPr>
          <w:rFonts w:cstheme="minorHAnsi"/>
          <w:sz w:val="20"/>
          <w:szCs w:val="20"/>
        </w:rPr>
        <w:t xml:space="preserve"> </w:t>
      </w:r>
      <w:proofErr w:type="spellStart"/>
      <w:r>
        <w:rPr>
          <w:rFonts w:cstheme="minorHAnsi"/>
          <w:sz w:val="20"/>
          <w:szCs w:val="20"/>
        </w:rPr>
        <w:t>occupiers</w:t>
      </w:r>
      <w:proofErr w:type="spellEnd"/>
      <w:r>
        <w:rPr>
          <w:rFonts w:cstheme="minorHAnsi"/>
          <w:sz w:val="20"/>
          <w:szCs w:val="20"/>
        </w:rPr>
        <w:t xml:space="preserve"> want”,</w:t>
      </w:r>
      <w:r w:rsidRPr="006A5435">
        <w:rPr>
          <w:rFonts w:cstheme="minorHAnsi"/>
          <w:sz w:val="20"/>
          <w:szCs w:val="20"/>
        </w:rPr>
        <w:t xml:space="preserve"> czynsze za powierzchnie biurowe najwyższej klasy są </w:t>
      </w:r>
      <w:r>
        <w:rPr>
          <w:rFonts w:cstheme="minorHAnsi"/>
          <w:sz w:val="20"/>
          <w:szCs w:val="20"/>
        </w:rPr>
        <w:t xml:space="preserve">niemal dwukrotnie </w:t>
      </w:r>
      <w:r w:rsidRPr="006A5435">
        <w:rPr>
          <w:rFonts w:cstheme="minorHAnsi"/>
          <w:sz w:val="20"/>
          <w:szCs w:val="20"/>
        </w:rPr>
        <w:t xml:space="preserve">wyższe. </w:t>
      </w:r>
      <w:r w:rsidRPr="002F5A40">
        <w:rPr>
          <w:rFonts w:cstheme="minorHAnsi"/>
          <w:sz w:val="20"/>
          <w:szCs w:val="20"/>
        </w:rPr>
        <w:t xml:space="preserve">Z kolei w Polsce różnice między stawkami za biura klasy </w:t>
      </w:r>
      <w:proofErr w:type="spellStart"/>
      <w:r w:rsidRPr="002F5A40">
        <w:rPr>
          <w:rFonts w:cstheme="minorHAnsi"/>
          <w:sz w:val="20"/>
          <w:szCs w:val="20"/>
        </w:rPr>
        <w:t>prime</w:t>
      </w:r>
      <w:proofErr w:type="spellEnd"/>
      <w:r w:rsidRPr="002F5A40">
        <w:rPr>
          <w:rFonts w:cstheme="minorHAnsi"/>
          <w:sz w:val="20"/>
          <w:szCs w:val="20"/>
        </w:rPr>
        <w:t xml:space="preserve"> i </w:t>
      </w:r>
      <w:proofErr w:type="spellStart"/>
      <w:r w:rsidRPr="002F5A40">
        <w:rPr>
          <w:rFonts w:cstheme="minorHAnsi"/>
          <w:sz w:val="20"/>
          <w:szCs w:val="20"/>
        </w:rPr>
        <w:t>secondary</w:t>
      </w:r>
      <w:proofErr w:type="spellEnd"/>
      <w:r w:rsidRPr="002F5A40">
        <w:rPr>
          <w:rFonts w:cstheme="minorHAnsi"/>
          <w:sz w:val="20"/>
          <w:szCs w:val="20"/>
        </w:rPr>
        <w:t xml:space="preserve"> w tej samej lokalizacji są znacznie mniejsze – przykładowo w centrum Warszawy czynsze za powierzchnie </w:t>
      </w:r>
      <w:proofErr w:type="spellStart"/>
      <w:r w:rsidRPr="002F5A40">
        <w:rPr>
          <w:rFonts w:cstheme="minorHAnsi"/>
          <w:sz w:val="20"/>
          <w:szCs w:val="20"/>
        </w:rPr>
        <w:t>prime</w:t>
      </w:r>
      <w:proofErr w:type="spellEnd"/>
      <w:r w:rsidRPr="002F5A40">
        <w:rPr>
          <w:rFonts w:cstheme="minorHAnsi"/>
          <w:sz w:val="20"/>
          <w:szCs w:val="20"/>
        </w:rPr>
        <w:t xml:space="preserve"> wynoszą 24–26 EUR/mkw., podczas gdy biura klasy B oferowane są w przedziale 17–19 EUR/mkw. W miastach regionalnych ta różnica cenowa jest jeszcze mniej odczuwalna. </w:t>
      </w:r>
    </w:p>
    <w:p w14:paraId="381390F6" w14:textId="77777777" w:rsidR="00FE7B2E" w:rsidRDefault="00FE7B2E" w:rsidP="00FE7B2E">
      <w:pPr>
        <w:spacing w:after="120" w:line="240" w:lineRule="auto"/>
        <w:jc w:val="both"/>
        <w:rPr>
          <w:rFonts w:cstheme="minorHAnsi"/>
          <w:b/>
          <w:bCs/>
          <w:sz w:val="20"/>
          <w:szCs w:val="20"/>
        </w:rPr>
      </w:pPr>
      <w:r>
        <w:rPr>
          <w:rFonts w:cstheme="minorHAnsi"/>
          <w:sz w:val="20"/>
          <w:szCs w:val="20"/>
        </w:rPr>
        <w:t xml:space="preserve">- </w:t>
      </w:r>
      <w:r>
        <w:rPr>
          <w:rFonts w:cstheme="minorHAnsi"/>
          <w:i/>
          <w:iCs/>
          <w:sz w:val="20"/>
          <w:szCs w:val="20"/>
        </w:rPr>
        <w:t>Patrząc na funkcjonowanie budynków biurowych którymi zarządzamy</w:t>
      </w:r>
      <w:r w:rsidRPr="003B00D0">
        <w:rPr>
          <w:rFonts w:cstheme="minorHAnsi"/>
          <w:i/>
          <w:iCs/>
          <w:sz w:val="20"/>
          <w:szCs w:val="20"/>
        </w:rPr>
        <w:t xml:space="preserve">, obserwujemy wyraźny trend, w którym najemcy coraz bardziej doceniają rolę budowania społeczności w ramach </w:t>
      </w:r>
      <w:r>
        <w:rPr>
          <w:rFonts w:cstheme="minorHAnsi"/>
          <w:i/>
          <w:iCs/>
          <w:sz w:val="20"/>
          <w:szCs w:val="20"/>
        </w:rPr>
        <w:t>obiektu</w:t>
      </w:r>
      <w:r w:rsidRPr="003B00D0">
        <w:rPr>
          <w:rFonts w:cstheme="minorHAnsi"/>
          <w:i/>
          <w:iCs/>
          <w:sz w:val="20"/>
          <w:szCs w:val="20"/>
        </w:rPr>
        <w:t>, co ma głębokie uzasadnienie biznesowe. Zebrane przez nas dane</w:t>
      </w:r>
      <w:r>
        <w:rPr>
          <w:rFonts w:cstheme="minorHAnsi"/>
          <w:i/>
          <w:iCs/>
          <w:sz w:val="20"/>
          <w:szCs w:val="20"/>
        </w:rPr>
        <w:t xml:space="preserve"> w ramach badań satysfakcji pracowników</w:t>
      </w:r>
      <w:r w:rsidRPr="003B00D0">
        <w:rPr>
          <w:rFonts w:cstheme="minorHAnsi"/>
          <w:i/>
          <w:iCs/>
          <w:sz w:val="20"/>
          <w:szCs w:val="20"/>
        </w:rPr>
        <w:t xml:space="preserve"> wskazują, że aż 78% użytkowników wyraża zadowolenie z wydarzeń organizowanych w zarządzanych przez nas biurowcach, a niemal 70% chętnie uczestniczy w różnorodnych aktywnościach wewnętrznych. To potwierdza, że biuro przestaje być jedynie miejscem pracy, a staje się kluczowym elementem wspierającym zaangażowanie pracowników i wzmacniającym kulturę korporacyjną, co jest bezpośrednio powiązane z ogólną efektywnością biznesową firm</w:t>
      </w:r>
      <w:r>
        <w:rPr>
          <w:rFonts w:cstheme="minorHAnsi"/>
          <w:sz w:val="20"/>
          <w:szCs w:val="20"/>
        </w:rPr>
        <w:t xml:space="preserve"> - </w:t>
      </w:r>
      <w:r w:rsidRPr="003B00D0">
        <w:rPr>
          <w:rFonts w:cstheme="minorHAnsi"/>
          <w:sz w:val="20"/>
          <w:szCs w:val="20"/>
        </w:rPr>
        <w:t xml:space="preserve">tłumaczy </w:t>
      </w:r>
      <w:r w:rsidRPr="007155FD">
        <w:rPr>
          <w:rFonts w:cstheme="minorHAnsi"/>
          <w:b/>
          <w:bCs/>
          <w:sz w:val="20"/>
          <w:szCs w:val="20"/>
        </w:rPr>
        <w:t xml:space="preserve">Sylwia </w:t>
      </w:r>
      <w:proofErr w:type="spellStart"/>
      <w:r w:rsidRPr="007155FD">
        <w:rPr>
          <w:rFonts w:cstheme="minorHAnsi"/>
          <w:b/>
          <w:bCs/>
          <w:sz w:val="20"/>
          <w:szCs w:val="20"/>
        </w:rPr>
        <w:t>Wiszowata</w:t>
      </w:r>
      <w:proofErr w:type="spellEnd"/>
      <w:r w:rsidRPr="007155FD">
        <w:rPr>
          <w:rFonts w:cstheme="minorHAnsi"/>
          <w:b/>
          <w:bCs/>
          <w:sz w:val="20"/>
          <w:szCs w:val="20"/>
        </w:rPr>
        <w:t xml:space="preserve">-Łazarz, </w:t>
      </w:r>
      <w:proofErr w:type="spellStart"/>
      <w:r w:rsidRPr="007155FD">
        <w:rPr>
          <w:rFonts w:cstheme="minorHAnsi"/>
          <w:b/>
          <w:bCs/>
          <w:sz w:val="20"/>
          <w:szCs w:val="20"/>
        </w:rPr>
        <w:t>Head</w:t>
      </w:r>
      <w:proofErr w:type="spellEnd"/>
      <w:r w:rsidRPr="007155FD">
        <w:rPr>
          <w:rFonts w:cstheme="minorHAnsi"/>
          <w:b/>
          <w:bCs/>
          <w:sz w:val="20"/>
          <w:szCs w:val="20"/>
        </w:rPr>
        <w:t xml:space="preserve"> of Marketing, </w:t>
      </w:r>
      <w:proofErr w:type="spellStart"/>
      <w:r w:rsidRPr="007155FD">
        <w:rPr>
          <w:rFonts w:cstheme="minorHAnsi"/>
          <w:b/>
          <w:bCs/>
          <w:sz w:val="20"/>
          <w:szCs w:val="20"/>
        </w:rPr>
        <w:t>Asset</w:t>
      </w:r>
      <w:proofErr w:type="spellEnd"/>
      <w:r w:rsidRPr="007155FD">
        <w:rPr>
          <w:rFonts w:cstheme="minorHAnsi"/>
          <w:b/>
          <w:bCs/>
          <w:sz w:val="20"/>
          <w:szCs w:val="20"/>
        </w:rPr>
        <w:t xml:space="preserve"> Services, Cushman &amp; Wakefield.</w:t>
      </w:r>
    </w:p>
    <w:p w14:paraId="61ACF0E0" w14:textId="77777777" w:rsidR="00FE7B2E" w:rsidRDefault="00FE7B2E" w:rsidP="00FE7B2E">
      <w:pPr>
        <w:spacing w:after="120" w:line="240" w:lineRule="auto"/>
        <w:jc w:val="both"/>
        <w:rPr>
          <w:rFonts w:cstheme="minorHAnsi"/>
          <w:b/>
          <w:bCs/>
          <w:sz w:val="20"/>
          <w:szCs w:val="20"/>
        </w:rPr>
      </w:pPr>
      <w:r>
        <w:rPr>
          <w:rFonts w:cstheme="minorHAnsi"/>
          <w:b/>
          <w:bCs/>
          <w:sz w:val="20"/>
          <w:szCs w:val="20"/>
        </w:rPr>
        <w:t>Strategie oparte na elastyczności lokalizacji to nowy imperatyw w pozyskiwaniu pracowników</w:t>
      </w:r>
    </w:p>
    <w:p w14:paraId="42A1B477" w14:textId="77777777" w:rsidR="00FE7B2E" w:rsidRPr="004C079C" w:rsidRDefault="00FE7B2E" w:rsidP="00FE7B2E">
      <w:pPr>
        <w:spacing w:after="120" w:line="240" w:lineRule="auto"/>
        <w:jc w:val="both"/>
        <w:rPr>
          <w:rFonts w:cstheme="minorHAnsi"/>
          <w:sz w:val="20"/>
          <w:szCs w:val="20"/>
        </w:rPr>
      </w:pPr>
      <w:r>
        <w:rPr>
          <w:rFonts w:cstheme="minorHAnsi"/>
          <w:sz w:val="20"/>
          <w:szCs w:val="20"/>
        </w:rPr>
        <w:t xml:space="preserve">Rekrutacje przewidujące elastyczny model pracy </w:t>
      </w:r>
      <w:r w:rsidRPr="004C079C">
        <w:rPr>
          <w:rFonts w:cstheme="minorHAnsi"/>
          <w:sz w:val="20"/>
          <w:szCs w:val="20"/>
        </w:rPr>
        <w:t>stały się już standardem, a 61% firm modyfikuje swoje strategie w zakresie nieruchomości w celu pozyskania różnorodnej i utalentowanej kadry w wielu regionach. Trendy regionalne wskazują na zróżnicowane podejście</w:t>
      </w:r>
      <w:r>
        <w:rPr>
          <w:rFonts w:cstheme="minorHAnsi"/>
          <w:sz w:val="20"/>
          <w:szCs w:val="20"/>
        </w:rPr>
        <w:t xml:space="preserve"> w tym obszarze</w:t>
      </w:r>
      <w:r w:rsidRPr="004C079C">
        <w:rPr>
          <w:rFonts w:cstheme="minorHAnsi"/>
          <w:sz w:val="20"/>
          <w:szCs w:val="20"/>
        </w:rPr>
        <w:t>:</w:t>
      </w:r>
    </w:p>
    <w:p w14:paraId="50951312" w14:textId="77777777" w:rsidR="00FE7B2E" w:rsidRPr="004C079C" w:rsidRDefault="00FE7B2E" w:rsidP="00FE7B2E">
      <w:pPr>
        <w:pStyle w:val="Akapitzlist"/>
        <w:numPr>
          <w:ilvl w:val="0"/>
          <w:numId w:val="5"/>
        </w:numPr>
        <w:spacing w:after="120"/>
        <w:contextualSpacing/>
        <w:jc w:val="both"/>
        <w:rPr>
          <w:rFonts w:cstheme="minorHAnsi"/>
          <w:sz w:val="20"/>
          <w:szCs w:val="20"/>
          <w:lang w:val="pl-PL"/>
        </w:rPr>
      </w:pPr>
      <w:r w:rsidRPr="004C079C">
        <w:rPr>
          <w:rFonts w:cstheme="minorHAnsi"/>
          <w:sz w:val="20"/>
          <w:szCs w:val="20"/>
          <w:lang w:val="pl-PL"/>
        </w:rPr>
        <w:t>W Ameryce Północnej i Południowej dominują strategie rekrutac</w:t>
      </w:r>
      <w:r>
        <w:rPr>
          <w:rFonts w:cstheme="minorHAnsi"/>
          <w:sz w:val="20"/>
          <w:szCs w:val="20"/>
          <w:lang w:val="pl-PL"/>
        </w:rPr>
        <w:t>ji</w:t>
      </w:r>
      <w:r w:rsidRPr="004C079C">
        <w:rPr>
          <w:rFonts w:cstheme="minorHAnsi"/>
          <w:sz w:val="20"/>
          <w:szCs w:val="20"/>
          <w:lang w:val="pl-PL"/>
        </w:rPr>
        <w:t xml:space="preserve"> </w:t>
      </w:r>
      <w:r>
        <w:rPr>
          <w:rFonts w:cstheme="minorHAnsi"/>
          <w:sz w:val="20"/>
          <w:szCs w:val="20"/>
          <w:lang w:val="pl-PL"/>
        </w:rPr>
        <w:t>do pracy hybrydowej na poziomie</w:t>
      </w:r>
      <w:r w:rsidRPr="004C079C">
        <w:rPr>
          <w:rFonts w:cstheme="minorHAnsi"/>
          <w:sz w:val="20"/>
          <w:szCs w:val="20"/>
          <w:lang w:val="pl-PL"/>
        </w:rPr>
        <w:t xml:space="preserve"> kraj</w:t>
      </w:r>
      <w:r>
        <w:rPr>
          <w:rFonts w:cstheme="minorHAnsi"/>
          <w:sz w:val="20"/>
          <w:szCs w:val="20"/>
          <w:lang w:val="pl-PL"/>
        </w:rPr>
        <w:t>u</w:t>
      </w:r>
      <w:r w:rsidRPr="004C079C">
        <w:rPr>
          <w:rFonts w:cstheme="minorHAnsi"/>
          <w:sz w:val="20"/>
          <w:szCs w:val="20"/>
          <w:lang w:val="pl-PL"/>
        </w:rPr>
        <w:t>.</w:t>
      </w:r>
    </w:p>
    <w:p w14:paraId="02096B37" w14:textId="77777777" w:rsidR="00FE7B2E" w:rsidRPr="004C079C" w:rsidRDefault="00FE7B2E" w:rsidP="00FE7B2E">
      <w:pPr>
        <w:pStyle w:val="Akapitzlist"/>
        <w:numPr>
          <w:ilvl w:val="0"/>
          <w:numId w:val="5"/>
        </w:numPr>
        <w:spacing w:after="120"/>
        <w:contextualSpacing/>
        <w:jc w:val="both"/>
        <w:rPr>
          <w:rFonts w:cstheme="minorHAnsi"/>
          <w:sz w:val="20"/>
          <w:szCs w:val="20"/>
          <w:lang w:val="pl-PL"/>
        </w:rPr>
      </w:pPr>
      <w:r w:rsidRPr="004C079C">
        <w:rPr>
          <w:rFonts w:cstheme="minorHAnsi"/>
          <w:sz w:val="20"/>
          <w:szCs w:val="20"/>
          <w:lang w:val="pl-PL"/>
        </w:rPr>
        <w:t>Firmy w regionie EMEA preferują selektywn</w:t>
      </w:r>
      <w:r>
        <w:rPr>
          <w:rFonts w:cstheme="minorHAnsi"/>
          <w:sz w:val="20"/>
          <w:szCs w:val="20"/>
          <w:lang w:val="pl-PL"/>
        </w:rPr>
        <w:t xml:space="preserve">e podejście do </w:t>
      </w:r>
      <w:r w:rsidRPr="004C079C">
        <w:rPr>
          <w:rFonts w:cstheme="minorHAnsi"/>
          <w:sz w:val="20"/>
          <w:szCs w:val="20"/>
          <w:lang w:val="pl-PL"/>
        </w:rPr>
        <w:t>rekrutacj</w:t>
      </w:r>
      <w:r>
        <w:rPr>
          <w:rFonts w:cstheme="minorHAnsi"/>
          <w:sz w:val="20"/>
          <w:szCs w:val="20"/>
          <w:lang w:val="pl-PL"/>
        </w:rPr>
        <w:t>i</w:t>
      </w:r>
      <w:r w:rsidRPr="004C079C">
        <w:rPr>
          <w:rFonts w:cstheme="minorHAnsi"/>
          <w:sz w:val="20"/>
          <w:szCs w:val="20"/>
          <w:lang w:val="pl-PL"/>
        </w:rPr>
        <w:t xml:space="preserve"> </w:t>
      </w:r>
      <w:r>
        <w:rPr>
          <w:rFonts w:cstheme="minorHAnsi"/>
          <w:sz w:val="20"/>
          <w:szCs w:val="20"/>
          <w:lang w:val="pl-PL"/>
        </w:rPr>
        <w:t xml:space="preserve">na poziomie </w:t>
      </w:r>
      <w:r w:rsidRPr="004C079C">
        <w:rPr>
          <w:rFonts w:cstheme="minorHAnsi"/>
          <w:sz w:val="20"/>
          <w:szCs w:val="20"/>
          <w:lang w:val="pl-PL"/>
        </w:rPr>
        <w:t>globaln</w:t>
      </w:r>
      <w:r>
        <w:rPr>
          <w:rFonts w:cstheme="minorHAnsi"/>
          <w:sz w:val="20"/>
          <w:szCs w:val="20"/>
          <w:lang w:val="pl-PL"/>
        </w:rPr>
        <w:t>ym</w:t>
      </w:r>
      <w:r w:rsidRPr="004C079C">
        <w:rPr>
          <w:rFonts w:cstheme="minorHAnsi"/>
          <w:sz w:val="20"/>
          <w:szCs w:val="20"/>
          <w:lang w:val="pl-PL"/>
        </w:rPr>
        <w:t xml:space="preserve"> w </w:t>
      </w:r>
      <w:r>
        <w:rPr>
          <w:rFonts w:cstheme="minorHAnsi"/>
          <w:sz w:val="20"/>
          <w:szCs w:val="20"/>
          <w:lang w:val="pl-PL"/>
        </w:rPr>
        <w:t>miastach</w:t>
      </w:r>
      <w:r w:rsidRPr="004C079C">
        <w:rPr>
          <w:rFonts w:cstheme="minorHAnsi"/>
          <w:sz w:val="20"/>
          <w:szCs w:val="20"/>
          <w:lang w:val="pl-PL"/>
        </w:rPr>
        <w:t>, w który</w:t>
      </w:r>
      <w:r>
        <w:rPr>
          <w:rFonts w:cstheme="minorHAnsi"/>
          <w:sz w:val="20"/>
          <w:szCs w:val="20"/>
          <w:lang w:val="pl-PL"/>
        </w:rPr>
        <w:t>ch</w:t>
      </w:r>
      <w:r w:rsidRPr="004C079C">
        <w:rPr>
          <w:rFonts w:cstheme="minorHAnsi"/>
          <w:sz w:val="20"/>
          <w:szCs w:val="20"/>
          <w:lang w:val="pl-PL"/>
        </w:rPr>
        <w:t xml:space="preserve"> są już obecne.</w:t>
      </w:r>
    </w:p>
    <w:p w14:paraId="3E62D002" w14:textId="77777777" w:rsidR="00FE7B2E" w:rsidRPr="004C079C" w:rsidRDefault="00FE7B2E" w:rsidP="00FE7B2E">
      <w:pPr>
        <w:pStyle w:val="Akapitzlist"/>
        <w:numPr>
          <w:ilvl w:val="0"/>
          <w:numId w:val="5"/>
        </w:numPr>
        <w:spacing w:after="120"/>
        <w:contextualSpacing/>
        <w:jc w:val="both"/>
        <w:rPr>
          <w:rFonts w:cstheme="minorHAnsi"/>
          <w:sz w:val="20"/>
          <w:szCs w:val="20"/>
          <w:lang w:val="pl-PL"/>
        </w:rPr>
      </w:pPr>
      <w:r w:rsidRPr="004C079C">
        <w:rPr>
          <w:rFonts w:cstheme="minorHAnsi"/>
          <w:sz w:val="20"/>
          <w:szCs w:val="20"/>
          <w:lang w:val="pl-PL"/>
        </w:rPr>
        <w:t>Region Azji i Pacyfik</w:t>
      </w:r>
      <w:r>
        <w:rPr>
          <w:rFonts w:cstheme="minorHAnsi"/>
          <w:sz w:val="20"/>
          <w:szCs w:val="20"/>
          <w:lang w:val="pl-PL"/>
        </w:rPr>
        <w:t>u</w:t>
      </w:r>
      <w:r w:rsidRPr="004C079C">
        <w:rPr>
          <w:rFonts w:cstheme="minorHAnsi"/>
          <w:sz w:val="20"/>
          <w:szCs w:val="20"/>
          <w:lang w:val="pl-PL"/>
        </w:rPr>
        <w:t xml:space="preserve"> jest liderem pod względem rekrutacji </w:t>
      </w:r>
      <w:r>
        <w:rPr>
          <w:rFonts w:cstheme="minorHAnsi"/>
          <w:sz w:val="20"/>
          <w:szCs w:val="20"/>
          <w:lang w:val="pl-PL"/>
        </w:rPr>
        <w:t xml:space="preserve">do pracy </w:t>
      </w:r>
      <w:r w:rsidRPr="004C079C">
        <w:rPr>
          <w:rFonts w:cstheme="minorHAnsi"/>
          <w:sz w:val="20"/>
          <w:szCs w:val="20"/>
          <w:lang w:val="pl-PL"/>
        </w:rPr>
        <w:t>zdalnej.</w:t>
      </w:r>
    </w:p>
    <w:p w14:paraId="6FD2AAF4" w14:textId="77777777" w:rsidR="00FE7B2E" w:rsidRPr="004C079C" w:rsidRDefault="00FE7B2E" w:rsidP="00FE7B2E">
      <w:pPr>
        <w:spacing w:after="120" w:line="240" w:lineRule="auto"/>
        <w:jc w:val="both"/>
        <w:rPr>
          <w:rFonts w:cstheme="minorHAnsi"/>
          <w:sz w:val="20"/>
          <w:szCs w:val="20"/>
        </w:rPr>
      </w:pPr>
      <w:r w:rsidRPr="004C079C">
        <w:rPr>
          <w:rFonts w:cstheme="minorHAnsi"/>
          <w:sz w:val="20"/>
          <w:szCs w:val="20"/>
        </w:rPr>
        <w:t xml:space="preserve">Zapotrzebowanie na specjalistów technologicznych utrzymuje się na wysokim poziomie – zwłaszcza w regionie Azji i Pacyfiku, który </w:t>
      </w:r>
      <w:r>
        <w:rPr>
          <w:rFonts w:cstheme="minorHAnsi"/>
          <w:sz w:val="20"/>
          <w:szCs w:val="20"/>
        </w:rPr>
        <w:t xml:space="preserve">pod względem wzrostu </w:t>
      </w:r>
      <w:r w:rsidRPr="004C079C">
        <w:rPr>
          <w:rFonts w:cstheme="minorHAnsi"/>
          <w:sz w:val="20"/>
          <w:szCs w:val="20"/>
        </w:rPr>
        <w:t>wyprzedza kraje Ameryki Północnej i Południowej oraz obszaru EMEA.</w:t>
      </w:r>
    </w:p>
    <w:p w14:paraId="7FF53564" w14:textId="77777777" w:rsidR="00FE7B2E" w:rsidRPr="004C079C" w:rsidRDefault="00FE7B2E" w:rsidP="00FE7B2E">
      <w:pPr>
        <w:spacing w:after="120" w:line="240" w:lineRule="auto"/>
        <w:jc w:val="both"/>
        <w:rPr>
          <w:rFonts w:cstheme="minorHAnsi"/>
          <w:sz w:val="20"/>
          <w:szCs w:val="20"/>
        </w:rPr>
      </w:pPr>
      <w:r w:rsidRPr="004C079C">
        <w:rPr>
          <w:rFonts w:cstheme="minorHAnsi"/>
          <w:sz w:val="20"/>
          <w:szCs w:val="20"/>
        </w:rPr>
        <w:t>Z badania „</w:t>
      </w:r>
      <w:proofErr w:type="spellStart"/>
      <w:r w:rsidRPr="004C079C">
        <w:rPr>
          <w:rFonts w:cstheme="minorHAnsi"/>
          <w:sz w:val="20"/>
          <w:szCs w:val="20"/>
        </w:rPr>
        <w:t>What</w:t>
      </w:r>
      <w:proofErr w:type="spellEnd"/>
      <w:r w:rsidRPr="004C079C">
        <w:rPr>
          <w:rFonts w:cstheme="minorHAnsi"/>
          <w:sz w:val="20"/>
          <w:szCs w:val="20"/>
        </w:rPr>
        <w:t xml:space="preserve"> </w:t>
      </w:r>
      <w:proofErr w:type="spellStart"/>
      <w:r w:rsidRPr="004C079C">
        <w:rPr>
          <w:rFonts w:cstheme="minorHAnsi"/>
          <w:sz w:val="20"/>
          <w:szCs w:val="20"/>
        </w:rPr>
        <w:t>Occupiers</w:t>
      </w:r>
      <w:proofErr w:type="spellEnd"/>
      <w:r w:rsidRPr="004C079C">
        <w:rPr>
          <w:rFonts w:cstheme="minorHAnsi"/>
          <w:sz w:val="20"/>
          <w:szCs w:val="20"/>
        </w:rPr>
        <w:t xml:space="preserve"> Want 2025” wynika, że branża </w:t>
      </w:r>
      <w:r>
        <w:rPr>
          <w:rFonts w:cstheme="minorHAnsi"/>
          <w:sz w:val="20"/>
          <w:szCs w:val="20"/>
        </w:rPr>
        <w:t>nieruchomości korporacyjnych</w:t>
      </w:r>
      <w:r w:rsidRPr="004C079C">
        <w:rPr>
          <w:rFonts w:cstheme="minorHAnsi"/>
          <w:sz w:val="20"/>
          <w:szCs w:val="20"/>
        </w:rPr>
        <w:t xml:space="preserve"> znajduje się w okresie przejściowym – presja kosztowa nadal </w:t>
      </w:r>
      <w:r>
        <w:rPr>
          <w:rFonts w:cstheme="minorHAnsi"/>
          <w:sz w:val="20"/>
          <w:szCs w:val="20"/>
        </w:rPr>
        <w:t xml:space="preserve">pozostaje </w:t>
      </w:r>
      <w:r w:rsidRPr="004C079C">
        <w:rPr>
          <w:rFonts w:cstheme="minorHAnsi"/>
          <w:sz w:val="20"/>
          <w:szCs w:val="20"/>
        </w:rPr>
        <w:t>kluczow</w:t>
      </w:r>
      <w:r>
        <w:rPr>
          <w:rFonts w:cstheme="minorHAnsi"/>
          <w:sz w:val="20"/>
          <w:szCs w:val="20"/>
        </w:rPr>
        <w:t>ym czynnikiem</w:t>
      </w:r>
      <w:r w:rsidRPr="004C079C">
        <w:rPr>
          <w:rFonts w:cstheme="minorHAnsi"/>
          <w:sz w:val="20"/>
          <w:szCs w:val="20"/>
        </w:rPr>
        <w:t>, ale wiodące organizacje redefiniują pojęcie wartości</w:t>
      </w:r>
      <w:r>
        <w:rPr>
          <w:rFonts w:cstheme="minorHAnsi"/>
          <w:sz w:val="20"/>
          <w:szCs w:val="20"/>
        </w:rPr>
        <w:t>, uwzględniając przy tym także inne aspekty</w:t>
      </w:r>
      <w:r w:rsidRPr="004C079C">
        <w:rPr>
          <w:rFonts w:cstheme="minorHAnsi"/>
          <w:sz w:val="20"/>
          <w:szCs w:val="20"/>
        </w:rPr>
        <w:t xml:space="preserve"> niż tylko oszczędności finansowe.</w:t>
      </w:r>
    </w:p>
    <w:p w14:paraId="7D0E4D1D" w14:textId="77777777" w:rsidR="00FE7B2E" w:rsidRPr="004C079C" w:rsidRDefault="00FE7B2E" w:rsidP="00FE7B2E">
      <w:pPr>
        <w:spacing w:after="120" w:line="288" w:lineRule="auto"/>
        <w:rPr>
          <w:rFonts w:cstheme="minorHAnsi"/>
          <w:sz w:val="20"/>
          <w:szCs w:val="20"/>
        </w:rPr>
      </w:pPr>
    </w:p>
    <w:p w14:paraId="28B14141" w14:textId="77777777" w:rsidR="00FE7B2E" w:rsidRDefault="00FE7B2E" w:rsidP="00FE7B2E">
      <w:pPr>
        <w:spacing w:after="120" w:line="240" w:lineRule="auto"/>
        <w:jc w:val="both"/>
        <w:rPr>
          <w:b/>
          <w:bCs/>
          <w:sz w:val="18"/>
          <w:szCs w:val="18"/>
        </w:rPr>
      </w:pPr>
      <w:r w:rsidRPr="004C079C">
        <w:rPr>
          <w:rFonts w:eastAsiaTheme="minorHAnsi"/>
          <w:b/>
          <w:bCs/>
          <w:sz w:val="18"/>
          <w:szCs w:val="18"/>
        </w:rPr>
        <w:t>O</w:t>
      </w:r>
      <w:r w:rsidRPr="004C079C">
        <w:rPr>
          <w:rFonts w:eastAsiaTheme="minorHAnsi"/>
          <w:sz w:val="18"/>
          <w:szCs w:val="18"/>
        </w:rPr>
        <w:t xml:space="preserve"> </w:t>
      </w:r>
      <w:r w:rsidRPr="004C079C">
        <w:rPr>
          <w:b/>
          <w:bCs/>
          <w:sz w:val="18"/>
          <w:szCs w:val="18"/>
        </w:rPr>
        <w:t>Cushman &amp; Wakefield</w:t>
      </w:r>
    </w:p>
    <w:p w14:paraId="33212DDC" w14:textId="77777777" w:rsidR="00FE7B2E" w:rsidRPr="004C079C" w:rsidRDefault="00FE7B2E" w:rsidP="00FE7B2E">
      <w:pPr>
        <w:spacing w:after="120" w:line="240" w:lineRule="auto"/>
        <w:jc w:val="both"/>
        <w:rPr>
          <w:rFonts w:eastAsiaTheme="minorHAnsi"/>
          <w:sz w:val="18"/>
          <w:szCs w:val="18"/>
        </w:rPr>
      </w:pPr>
      <w:r w:rsidRPr="004C079C">
        <w:rPr>
          <w:rFonts w:eastAsiaTheme="minorHAnsi"/>
          <w:sz w:val="18"/>
          <w:szCs w:val="18"/>
        </w:rPr>
        <w:t xml:space="preserve">Cushman &amp; Wakefield (NYSE: CWK) jest wiodącą na świecie firmą świadczącą usługi na rzecz właścicieli i najemców nieruchomości komercyjnych. Zatrudnia ok. 52 tys. pracowników w niemal 400 biurach i 60 krajach na całym świecie. W 2024 roku jej przychody wyniosły 9,4 mld USD. Do najważniejszych usług świadczonych przez firmę należą m.in. </w:t>
      </w:r>
      <w:r w:rsidRPr="004C079C">
        <w:rPr>
          <w:rFonts w:eastAsiaTheme="minorHAnsi"/>
          <w:sz w:val="18"/>
          <w:szCs w:val="18"/>
        </w:rPr>
        <w:lastRenderedPageBreak/>
        <w:t>zarządzanie nieruchomościami, obiektami i projektami, pośrednictwo w wynajmie powierzchni, obsługa transakcji na rynkach kapitałowych oraz wyceny. Za nieustanne dążenie do doskonałości zgodnie z zasadą </w:t>
      </w:r>
      <w:proofErr w:type="spellStart"/>
      <w:r w:rsidRPr="004C079C">
        <w:rPr>
          <w:rFonts w:eastAsiaTheme="minorHAnsi"/>
          <w:i/>
          <w:iCs/>
          <w:sz w:val="18"/>
          <w:szCs w:val="18"/>
        </w:rPr>
        <w:t>Better</w:t>
      </w:r>
      <w:proofErr w:type="spellEnd"/>
      <w:r w:rsidRPr="004C079C">
        <w:rPr>
          <w:rFonts w:eastAsiaTheme="minorHAnsi"/>
          <w:i/>
          <w:iCs/>
          <w:sz w:val="18"/>
          <w:szCs w:val="18"/>
        </w:rPr>
        <w:t xml:space="preserve"> </w:t>
      </w:r>
      <w:proofErr w:type="spellStart"/>
      <w:r w:rsidRPr="004C079C">
        <w:rPr>
          <w:rFonts w:eastAsiaTheme="minorHAnsi"/>
          <w:i/>
          <w:iCs/>
          <w:sz w:val="18"/>
          <w:szCs w:val="18"/>
        </w:rPr>
        <w:t>never</w:t>
      </w:r>
      <w:proofErr w:type="spellEnd"/>
      <w:r w:rsidRPr="004C079C">
        <w:rPr>
          <w:rFonts w:eastAsiaTheme="minorHAnsi"/>
          <w:i/>
          <w:iCs/>
          <w:sz w:val="18"/>
          <w:szCs w:val="18"/>
        </w:rPr>
        <w:t xml:space="preserve"> </w:t>
      </w:r>
      <w:proofErr w:type="spellStart"/>
      <w:r w:rsidRPr="004C079C">
        <w:rPr>
          <w:rFonts w:eastAsiaTheme="minorHAnsi"/>
          <w:i/>
          <w:iCs/>
          <w:sz w:val="18"/>
          <w:szCs w:val="18"/>
        </w:rPr>
        <w:t>settles</w:t>
      </w:r>
      <w:proofErr w:type="spellEnd"/>
      <w:r w:rsidRPr="004C079C">
        <w:rPr>
          <w:rFonts w:eastAsiaTheme="minorHAnsi"/>
          <w:sz w:val="18"/>
          <w:szCs w:val="18"/>
        </w:rPr>
        <w:t xml:space="preserve"> Cushman &amp; Wakefield otrzymuje wiele wyróżnień oraz nagród w konkursach branżowych i biznesowych. Dodatkowe informacje na stronie </w:t>
      </w:r>
      <w:hyperlink r:id="rId11" w:history="1">
        <w:r w:rsidRPr="004C079C">
          <w:rPr>
            <w:rStyle w:val="Hipercze"/>
            <w:rFonts w:eastAsiaTheme="minorHAnsi"/>
            <w:sz w:val="18"/>
            <w:szCs w:val="18"/>
          </w:rPr>
          <w:t>www.cushmanwakefield.com</w:t>
        </w:r>
      </w:hyperlink>
      <w:r w:rsidRPr="004C079C">
        <w:rPr>
          <w:rFonts w:eastAsiaTheme="minorHAnsi"/>
          <w:sz w:val="18"/>
          <w:szCs w:val="18"/>
        </w:rPr>
        <w:t xml:space="preserve">. </w:t>
      </w:r>
    </w:p>
    <w:p w14:paraId="1AE92332" w14:textId="77777777" w:rsidR="00FE7B2E" w:rsidRPr="004C079C" w:rsidRDefault="00FE7B2E" w:rsidP="00FE7B2E">
      <w:pPr>
        <w:spacing w:after="120" w:line="240" w:lineRule="auto"/>
        <w:rPr>
          <w:rFonts w:eastAsiaTheme="minorHAnsi"/>
          <w:sz w:val="18"/>
          <w:szCs w:val="18"/>
        </w:rPr>
      </w:pPr>
      <w:r w:rsidRPr="004C079C">
        <w:rPr>
          <w:rFonts w:cstheme="minorHAnsi"/>
          <w:b/>
          <w:bCs/>
          <w:sz w:val="18"/>
          <w:szCs w:val="20"/>
        </w:rPr>
        <w:t xml:space="preserve">O </w:t>
      </w:r>
      <w:proofErr w:type="spellStart"/>
      <w:r w:rsidRPr="004C079C">
        <w:rPr>
          <w:rFonts w:cstheme="minorHAnsi"/>
          <w:b/>
          <w:bCs/>
          <w:sz w:val="18"/>
          <w:szCs w:val="20"/>
        </w:rPr>
        <w:t>CoreNet</w:t>
      </w:r>
      <w:proofErr w:type="spellEnd"/>
      <w:r w:rsidRPr="004C079C">
        <w:rPr>
          <w:rFonts w:cstheme="minorHAnsi"/>
          <w:b/>
          <w:bCs/>
          <w:sz w:val="18"/>
          <w:szCs w:val="20"/>
        </w:rPr>
        <w:t xml:space="preserve"> Global</w:t>
      </w:r>
      <w:r w:rsidRPr="004C079C">
        <w:rPr>
          <w:rFonts w:cstheme="minorHAnsi"/>
          <w:color w:val="000000" w:themeColor="text1" w:themeShade="BF"/>
          <w:sz w:val="18"/>
          <w:szCs w:val="20"/>
        </w:rPr>
        <w:br/>
      </w:r>
      <w:proofErr w:type="spellStart"/>
      <w:r w:rsidRPr="004C079C">
        <w:rPr>
          <w:rFonts w:eastAsiaTheme="minorHAnsi"/>
          <w:sz w:val="18"/>
          <w:szCs w:val="18"/>
        </w:rPr>
        <w:t>CoreNet</w:t>
      </w:r>
      <w:proofErr w:type="spellEnd"/>
      <w:r w:rsidRPr="004C079C">
        <w:rPr>
          <w:rFonts w:eastAsiaTheme="minorHAnsi"/>
          <w:sz w:val="18"/>
          <w:szCs w:val="18"/>
        </w:rPr>
        <w:t xml:space="preserve"> Global z siedzibą w Atlancie, w stanie Georgia (USA) jest stowarzyszeniem non-profit, które reprezentuje ponad 11 tys. dyrektorów w 50 krajach, odpowiadających za nieruchomości dużych korporacji. Misją organizacji jest wspieranie specjalistów z branży nieruchomości korporacyjnych poprzez oferowanie możliwości rozwoju zawodowego, dostępu do publikacji, badań i konferencji, a także uzyskiwania certyfikatów zawodowych i nawiązywania kontaktów w 46 lokalnych oddziałach i grupach </w:t>
      </w:r>
      <w:proofErr w:type="spellStart"/>
      <w:r w:rsidRPr="004C079C">
        <w:rPr>
          <w:rFonts w:eastAsiaTheme="minorHAnsi"/>
          <w:sz w:val="18"/>
          <w:szCs w:val="18"/>
        </w:rPr>
        <w:t>networkingowych</w:t>
      </w:r>
      <w:proofErr w:type="spellEnd"/>
      <w:r w:rsidRPr="004C079C">
        <w:rPr>
          <w:rFonts w:eastAsiaTheme="minorHAnsi"/>
          <w:sz w:val="18"/>
          <w:szCs w:val="18"/>
        </w:rPr>
        <w:t xml:space="preserve"> na całym świecie. Dodatkowe informacje na stronie </w:t>
      </w:r>
      <w:hyperlink r:id="rId12" w:history="1">
        <w:r w:rsidRPr="004C079C">
          <w:rPr>
            <w:rStyle w:val="Hipercze"/>
            <w:rFonts w:eastAsiaTheme="minorHAnsi"/>
            <w:sz w:val="18"/>
            <w:szCs w:val="18"/>
          </w:rPr>
          <w:t>www.corenetglobal.org</w:t>
        </w:r>
      </w:hyperlink>
      <w:r w:rsidRPr="004C079C">
        <w:rPr>
          <w:rFonts w:eastAsiaTheme="minorHAnsi"/>
          <w:sz w:val="18"/>
          <w:szCs w:val="18"/>
        </w:rPr>
        <w:t>.</w:t>
      </w:r>
    </w:p>
    <w:p w14:paraId="7CF7F992" w14:textId="77777777" w:rsidR="00FE7B2E" w:rsidRPr="004C079C" w:rsidRDefault="00FE7B2E" w:rsidP="00FE7B2E">
      <w:pPr>
        <w:rPr>
          <w:b/>
          <w:sz w:val="18"/>
          <w:szCs w:val="18"/>
        </w:rPr>
      </w:pPr>
    </w:p>
    <w:p w14:paraId="502E5006" w14:textId="77777777" w:rsidR="00FE7B2E" w:rsidRPr="004C079C" w:rsidRDefault="00FE7B2E" w:rsidP="00FE7B2E">
      <w:pPr>
        <w:jc w:val="center"/>
      </w:pPr>
      <w:r w:rsidRPr="004C079C">
        <w:rPr>
          <w:b/>
          <w:sz w:val="18"/>
          <w:szCs w:val="18"/>
        </w:rPr>
        <w:t>-KONIEC-</w:t>
      </w:r>
    </w:p>
    <w:p w14:paraId="64A83442" w14:textId="5CD6CB13" w:rsidR="00BC2537" w:rsidRPr="00AF11EE" w:rsidRDefault="00BC2537" w:rsidP="0017521E">
      <w:pPr>
        <w:jc w:val="center"/>
        <w:rPr>
          <w:sz w:val="16"/>
          <w:szCs w:val="16"/>
        </w:rPr>
      </w:pPr>
    </w:p>
    <w:sectPr w:rsidR="00BC2537" w:rsidRPr="00AF11EE">
      <w:headerReference w:type="default" r:id="rId13"/>
      <w:footerReference w:type="default" r:id="rId14"/>
      <w:headerReference w:type="first" r:id="rId15"/>
      <w:footerReference w:type="first" r:id="rId16"/>
      <w:pgSz w:w="11907" w:h="16839"/>
      <w:pgMar w:top="3600" w:right="1008" w:bottom="2880" w:left="1224" w:header="180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5E68" w14:textId="77777777" w:rsidR="001306B2" w:rsidRDefault="001306B2">
      <w:pPr>
        <w:spacing w:after="0" w:line="240" w:lineRule="auto"/>
      </w:pPr>
      <w:r>
        <w:separator/>
      </w:r>
    </w:p>
  </w:endnote>
  <w:endnote w:type="continuationSeparator" w:id="0">
    <w:p w14:paraId="639F918E" w14:textId="77777777" w:rsidR="001306B2" w:rsidRDefault="001306B2">
      <w:pPr>
        <w:spacing w:after="0" w:line="240" w:lineRule="auto"/>
      </w:pPr>
      <w:r>
        <w:continuationSeparator/>
      </w:r>
    </w:p>
  </w:endnote>
  <w:endnote w:type="continuationNotice" w:id="1">
    <w:p w14:paraId="3E0C6E45" w14:textId="77777777" w:rsidR="001306B2" w:rsidRDefault="00130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Layout w:type="fixed"/>
      <w:tblCellMar>
        <w:left w:w="0" w:type="dxa"/>
        <w:right w:w="0" w:type="dxa"/>
      </w:tblCellMar>
      <w:tblLook w:val="04A0" w:firstRow="1" w:lastRow="0" w:firstColumn="1" w:lastColumn="0" w:noHBand="0" w:noVBand="1"/>
    </w:tblPr>
    <w:tblGrid>
      <w:gridCol w:w="9000"/>
    </w:tblGrid>
    <w:tr w:rsidR="00C8277A" w:rsidRPr="005B2397" w14:paraId="2AD926AD" w14:textId="77777777" w:rsidTr="00B924E3">
      <w:trPr>
        <w:trHeight w:val="630"/>
      </w:trPr>
      <w:tc>
        <w:tcPr>
          <w:tcW w:w="8931" w:type="dxa"/>
          <w:vAlign w:val="bottom"/>
        </w:tcPr>
        <w:p w14:paraId="46F11C58" w14:textId="77777777" w:rsidR="00025C81" w:rsidRPr="00C8277A" w:rsidRDefault="001A4929" w:rsidP="00B924E3">
          <w:pPr>
            <w:pStyle w:val="Nagwek2"/>
            <w:rPr>
              <w:rFonts w:ascii="Arial" w:hAnsi="Arial" w:cs="Arial"/>
              <w:color w:val="000000" w:themeColor="text1"/>
            </w:rPr>
          </w:pPr>
          <w:r w:rsidRPr="00C8277A">
            <w:rPr>
              <w:rFonts w:ascii="Arial" w:hAnsi="Arial" w:cs="Arial"/>
              <w:color w:val="000000" w:themeColor="text1"/>
            </w:rPr>
            <w:t>Dodatkowe informacje:</w:t>
          </w:r>
        </w:p>
      </w:tc>
    </w:tr>
    <w:tr w:rsidR="00C8277A" w:rsidRPr="00FE7B2E" w14:paraId="2F690183" w14:textId="77777777" w:rsidTr="00B924E3">
      <w:trPr>
        <w:trHeight w:val="1260"/>
      </w:trPr>
      <w:tc>
        <w:tcPr>
          <w:tcW w:w="8931" w:type="dxa"/>
        </w:tcPr>
        <w:tbl>
          <w:tblPr>
            <w:tblStyle w:val="PlainTable41"/>
            <w:tblW w:w="10095" w:type="dxa"/>
            <w:tblLayout w:type="fixed"/>
            <w:tblLook w:val="04A0" w:firstRow="1" w:lastRow="0" w:firstColumn="1" w:lastColumn="0" w:noHBand="0" w:noVBand="1"/>
          </w:tblPr>
          <w:tblGrid>
            <w:gridCol w:w="3467"/>
            <w:gridCol w:w="3763"/>
            <w:gridCol w:w="2865"/>
          </w:tblGrid>
          <w:tr w:rsidR="00C8277A" w:rsidRPr="00FE7B2E" w14:paraId="73319B5E" w14:textId="77777777" w:rsidTr="00265F1D">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3467" w:type="dxa"/>
              </w:tcPr>
              <w:tbl>
                <w:tblPr>
                  <w:tblStyle w:val="Tabela-Siatka"/>
                  <w:tblW w:w="24344"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6"/>
                  <w:gridCol w:w="6086"/>
                  <w:gridCol w:w="6086"/>
                  <w:gridCol w:w="6086"/>
                </w:tblGrid>
                <w:tr w:rsidR="00C8277A" w:rsidRPr="00FE7B2E" w14:paraId="32B5F073" w14:textId="77777777" w:rsidTr="00B77D91">
                  <w:trPr>
                    <w:trHeight w:val="738"/>
                  </w:trPr>
                  <w:tc>
                    <w:tcPr>
                      <w:tcW w:w="6086" w:type="dxa"/>
                    </w:tcPr>
                    <w:p w14:paraId="67AD71FE" w14:textId="02F68497" w:rsidR="00025C81" w:rsidRPr="009D1ABC" w:rsidRDefault="00AF11EE" w:rsidP="00B924E3">
                      <w:pPr>
                        <w:pStyle w:val="ContactName"/>
                        <w:spacing w:line="240" w:lineRule="auto"/>
                        <w:rPr>
                          <w:color w:val="696B6B"/>
                          <w:szCs w:val="18"/>
                          <w:u w:color="696B6B"/>
                          <w:lang w:val="en-US"/>
                        </w:rPr>
                      </w:pPr>
                      <w:r>
                        <w:rPr>
                          <w:color w:val="696B6B"/>
                          <w:szCs w:val="18"/>
                          <w:u w:color="696B6B"/>
                          <w:lang w:val="en-US"/>
                        </w:rPr>
                        <w:t xml:space="preserve">Karolina </w:t>
                      </w:r>
                      <w:proofErr w:type="spellStart"/>
                      <w:r>
                        <w:rPr>
                          <w:color w:val="696B6B"/>
                          <w:szCs w:val="18"/>
                          <w:u w:color="696B6B"/>
                          <w:lang w:val="en-US"/>
                        </w:rPr>
                        <w:t>Samczyńska-Fiślak</w:t>
                      </w:r>
                      <w:proofErr w:type="spellEnd"/>
                    </w:p>
                    <w:p w14:paraId="03FB117E" w14:textId="77777777" w:rsidR="00025C81" w:rsidRPr="009D1ABC" w:rsidRDefault="001A4929" w:rsidP="00B924E3">
                      <w:pPr>
                        <w:pStyle w:val="ContactName"/>
                        <w:spacing w:line="240" w:lineRule="auto"/>
                        <w:rPr>
                          <w:b w:val="0"/>
                          <w:bCs w:val="0"/>
                          <w:color w:val="696B6B"/>
                          <w:szCs w:val="18"/>
                          <w:u w:color="696B6B"/>
                          <w:lang w:val="en-US"/>
                        </w:rPr>
                      </w:pPr>
                      <w:r w:rsidRPr="009D1ABC">
                        <w:rPr>
                          <w:b w:val="0"/>
                          <w:bCs w:val="0"/>
                          <w:color w:val="696B6B"/>
                          <w:szCs w:val="18"/>
                          <w:u w:color="696B6B"/>
                          <w:lang w:val="en-US"/>
                        </w:rPr>
                        <w:t xml:space="preserve">Cushman &amp; Wakefield </w:t>
                      </w:r>
                    </w:p>
                    <w:p w14:paraId="51DAB7AF" w14:textId="799868C8" w:rsidR="00025C81" w:rsidRPr="009D1ABC" w:rsidRDefault="001A4929" w:rsidP="00B924E3">
                      <w:pPr>
                        <w:rPr>
                          <w:rFonts w:ascii="Calibri" w:eastAsia="Times New Roman" w:hAnsi="Calibri"/>
                          <w:sz w:val="18"/>
                          <w:szCs w:val="18"/>
                        </w:rPr>
                      </w:pPr>
                      <w:r w:rsidRPr="009D1ABC">
                        <w:rPr>
                          <w:rFonts w:ascii="Calibri" w:hAnsi="Calibri"/>
                          <w:color w:val="696B6B"/>
                          <w:sz w:val="18"/>
                          <w:szCs w:val="18"/>
                          <w:u w:color="696B6B"/>
                        </w:rPr>
                        <w:t xml:space="preserve">Tel: + 48 22 820 20 20; </w:t>
                      </w:r>
                      <w:r w:rsidR="00AF11EE" w:rsidRPr="00AF11EE">
                        <w:rPr>
                          <w:rFonts w:ascii="Calibri" w:hAnsi="Calibri"/>
                          <w:color w:val="696B6B"/>
                          <w:sz w:val="18"/>
                          <w:szCs w:val="18"/>
                          <w:u w:color="696B6B"/>
                        </w:rPr>
                        <w:t>691</w:t>
                      </w:r>
                      <w:r w:rsidR="00AF11EE">
                        <w:rPr>
                          <w:rFonts w:ascii="Calibri" w:hAnsi="Calibri"/>
                          <w:color w:val="696B6B"/>
                          <w:sz w:val="18"/>
                          <w:szCs w:val="18"/>
                          <w:u w:color="696B6B"/>
                        </w:rPr>
                        <w:t> </w:t>
                      </w:r>
                      <w:r w:rsidR="00AF11EE" w:rsidRPr="00AF11EE">
                        <w:rPr>
                          <w:rFonts w:ascii="Calibri" w:hAnsi="Calibri"/>
                          <w:color w:val="696B6B"/>
                          <w:sz w:val="18"/>
                          <w:szCs w:val="18"/>
                          <w:u w:color="696B6B"/>
                        </w:rPr>
                        <w:t>060</w:t>
                      </w:r>
                      <w:r w:rsidR="00AF11EE">
                        <w:rPr>
                          <w:rFonts w:ascii="Calibri" w:hAnsi="Calibri"/>
                          <w:color w:val="696B6B"/>
                          <w:sz w:val="18"/>
                          <w:szCs w:val="18"/>
                          <w:u w:color="696B6B"/>
                        </w:rPr>
                        <w:t xml:space="preserve"> </w:t>
                      </w:r>
                      <w:r w:rsidR="00AF11EE" w:rsidRPr="00AF11EE">
                        <w:rPr>
                          <w:rFonts w:ascii="Calibri" w:hAnsi="Calibri"/>
                          <w:color w:val="696B6B"/>
                          <w:sz w:val="18"/>
                          <w:szCs w:val="18"/>
                          <w:u w:color="696B6B"/>
                        </w:rPr>
                        <w:t>202</w:t>
                      </w:r>
                    </w:p>
                    <w:p w14:paraId="4EC59528" w14:textId="77777777" w:rsidR="00025C81" w:rsidRPr="009D1ABC" w:rsidRDefault="001A4929" w:rsidP="00B924E3">
                      <w:pPr>
                        <w:pStyle w:val="ContactName"/>
                        <w:tabs>
                          <w:tab w:val="right" w:pos="4688"/>
                        </w:tabs>
                        <w:spacing w:line="240" w:lineRule="auto"/>
                        <w:rPr>
                          <w:color w:val="696B6B"/>
                          <w:u w:color="696B6B"/>
                          <w:lang w:val="de-DE"/>
                        </w:rPr>
                      </w:pPr>
                      <w:proofErr w:type="spellStart"/>
                      <w:r w:rsidRPr="009D1ABC">
                        <w:rPr>
                          <w:color w:val="696B6B"/>
                          <w:u w:color="696B6B"/>
                          <w:lang w:val="de-DE"/>
                        </w:rPr>
                        <w:t>e-mail</w:t>
                      </w:r>
                      <w:proofErr w:type="spellEnd"/>
                      <w:r w:rsidRPr="009D1ABC">
                        <w:rPr>
                          <w:color w:val="696B6B"/>
                          <w:u w:color="696B6B"/>
                          <w:lang w:val="de-DE"/>
                        </w:rPr>
                        <w:t xml:space="preserve">: </w:t>
                      </w:r>
                      <w:hyperlink r:id="rId1" w:history="1">
                        <w:r w:rsidRPr="009D1ABC">
                          <w:rPr>
                            <w:rStyle w:val="Hyperlink0"/>
                            <w:lang w:val="de-AT"/>
                          </w:rPr>
                          <w:t>media.poland@cushwake.pl</w:t>
                        </w:r>
                      </w:hyperlink>
                    </w:p>
                  </w:tc>
                  <w:tc>
                    <w:tcPr>
                      <w:tcW w:w="6086" w:type="dxa"/>
                    </w:tcPr>
                    <w:p w14:paraId="0CF7FE8B" w14:textId="77777777" w:rsidR="00025C81" w:rsidRPr="009D1ABC" w:rsidRDefault="00025C81" w:rsidP="00B924E3">
                      <w:pPr>
                        <w:pStyle w:val="ContactDetail"/>
                        <w:spacing w:line="240" w:lineRule="auto"/>
                        <w:rPr>
                          <w:color w:val="696B6B"/>
                          <w:u w:color="696B6B"/>
                          <w:lang w:val="de-DE"/>
                        </w:rPr>
                      </w:pPr>
                    </w:p>
                  </w:tc>
                  <w:tc>
                    <w:tcPr>
                      <w:tcW w:w="6086" w:type="dxa"/>
                    </w:tcPr>
                    <w:p w14:paraId="20ECDA43" w14:textId="77777777" w:rsidR="00025C81" w:rsidRPr="00167436" w:rsidRDefault="00025C81" w:rsidP="00B924E3">
                      <w:pPr>
                        <w:pStyle w:val="ContactName"/>
                        <w:spacing w:line="240" w:lineRule="auto"/>
                        <w:rPr>
                          <w:rStyle w:val="Brak"/>
                          <w:color w:val="696B6B"/>
                          <w:u w:color="696B6B"/>
                          <w:lang w:val="de-DE"/>
                        </w:rPr>
                      </w:pPr>
                    </w:p>
                  </w:tc>
                  <w:tc>
                    <w:tcPr>
                      <w:tcW w:w="6086" w:type="dxa"/>
                    </w:tcPr>
                    <w:p w14:paraId="397E05EC" w14:textId="77777777" w:rsidR="00025C81" w:rsidRPr="00167436" w:rsidRDefault="00025C81" w:rsidP="00B924E3">
                      <w:pPr>
                        <w:pStyle w:val="ContactName"/>
                        <w:spacing w:line="240" w:lineRule="auto"/>
                        <w:rPr>
                          <w:rStyle w:val="Brak"/>
                          <w:color w:val="696B6B"/>
                          <w:u w:color="696B6B"/>
                          <w:lang w:val="de-DE"/>
                        </w:rPr>
                      </w:pPr>
                    </w:p>
                  </w:tc>
                </w:tr>
              </w:tbl>
              <w:p w14:paraId="08D62AB9" w14:textId="77777777" w:rsidR="00025C81" w:rsidRPr="009D1ABC" w:rsidRDefault="00025C81" w:rsidP="00B924E3">
                <w:pPr>
                  <w:pStyle w:val="ContactDetail"/>
                  <w:rPr>
                    <w:rFonts w:asciiTheme="minorHAnsi" w:hAnsiTheme="minorHAnsi" w:cstheme="minorHAnsi"/>
                    <w:color w:val="000000" w:themeColor="text1"/>
                    <w:lang w:val="es-ES_tradnl"/>
                  </w:rPr>
                </w:pPr>
              </w:p>
            </w:tc>
            <w:tc>
              <w:tcPr>
                <w:tcW w:w="3763" w:type="dxa"/>
              </w:tcPr>
              <w:p w14:paraId="4ED69CDE" w14:textId="77777777" w:rsidR="00025C81" w:rsidRPr="007B2741" w:rsidRDefault="00025C81" w:rsidP="00580984">
                <w:pPr>
                  <w:pStyle w:val="ContactDetail"/>
                  <w:spacing w:line="240" w:lineRule="auto"/>
                  <w:cnfStyle w:val="100000000000" w:firstRow="1" w:lastRow="0" w:firstColumn="0" w:lastColumn="0" w:oddVBand="0" w:evenVBand="0" w:oddHBand="0" w:evenHBand="0" w:firstRowFirstColumn="0" w:firstRowLastColumn="0" w:lastRowFirstColumn="0" w:lastRowLastColumn="0"/>
                  <w:rPr>
                    <w:rStyle w:val="Brak"/>
                    <w:color w:val="696B6B"/>
                    <w:u w:color="696B6B"/>
                    <w:lang w:val="en-US"/>
                  </w:rPr>
                </w:pPr>
              </w:p>
            </w:tc>
            <w:tc>
              <w:tcPr>
                <w:tcW w:w="2865" w:type="dxa"/>
              </w:tcPr>
              <w:p w14:paraId="1A4CBD3A" w14:textId="77777777" w:rsidR="00025C81" w:rsidRPr="007B2741" w:rsidRDefault="00025C81" w:rsidP="00B924E3">
                <w:pPr>
                  <w:pStyle w:val="ContactDetail"/>
                  <w:spacing w:line="240" w:lineRule="auto"/>
                  <w:cnfStyle w:val="100000000000" w:firstRow="1" w:lastRow="0" w:firstColumn="0" w:lastColumn="0" w:oddVBand="0" w:evenVBand="0" w:oddHBand="0" w:evenHBand="0" w:firstRowFirstColumn="0" w:firstRowLastColumn="0" w:lastRowFirstColumn="0" w:lastRowLastColumn="0"/>
                  <w:rPr>
                    <w:lang w:val="en-US"/>
                  </w:rPr>
                </w:pPr>
              </w:p>
              <w:p w14:paraId="0D0425FA" w14:textId="77777777" w:rsidR="00025C81" w:rsidRPr="007B2741" w:rsidRDefault="00025C81" w:rsidP="00B924E3">
                <w:pPr>
                  <w:pStyle w:val="ContactDetai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US"/>
                  </w:rPr>
                </w:pPr>
              </w:p>
            </w:tc>
          </w:tr>
        </w:tbl>
        <w:p w14:paraId="51226427" w14:textId="794B06BC" w:rsidR="00025C81" w:rsidRPr="007B2741" w:rsidRDefault="00025C81" w:rsidP="00B924E3">
          <w:pPr>
            <w:pStyle w:val="ContactDetail"/>
            <w:rPr>
              <w:rFonts w:asciiTheme="minorHAnsi" w:hAnsiTheme="minorHAnsi" w:cstheme="minorHAnsi"/>
              <w:color w:val="000000" w:themeColor="text1"/>
              <w:lang w:val="en-US"/>
            </w:rPr>
          </w:pPr>
        </w:p>
      </w:tc>
    </w:tr>
  </w:tbl>
  <w:p w14:paraId="6A6BD428" w14:textId="77777777" w:rsidR="00025C81" w:rsidRPr="007B2741" w:rsidRDefault="00025C81">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4E79" w14:textId="77777777" w:rsidR="00025C81" w:rsidRDefault="00025C81">
    <w:pPr>
      <w:widowControl w:val="0"/>
      <w:pBdr>
        <w:top w:val="nil"/>
        <w:left w:val="nil"/>
        <w:bottom w:val="nil"/>
        <w:right w:val="nil"/>
        <w:between w:val="nil"/>
      </w:pBdr>
      <w:spacing w:after="0"/>
      <w:rPr>
        <w:color w:val="000000"/>
      </w:rPr>
    </w:pPr>
  </w:p>
  <w:tbl>
    <w:tblPr>
      <w:tblW w:w="9000" w:type="dxa"/>
      <w:tblLayout w:type="fixed"/>
      <w:tblLook w:val="0400" w:firstRow="0" w:lastRow="0" w:firstColumn="0" w:lastColumn="0" w:noHBand="0" w:noVBand="1"/>
    </w:tblPr>
    <w:tblGrid>
      <w:gridCol w:w="5670"/>
      <w:gridCol w:w="3330"/>
    </w:tblGrid>
    <w:tr w:rsidR="00F67554" w14:paraId="57A23F18" w14:textId="77777777">
      <w:trPr>
        <w:trHeight w:val="630"/>
      </w:trPr>
      <w:tc>
        <w:tcPr>
          <w:tcW w:w="5670" w:type="dxa"/>
          <w:vAlign w:val="bottom"/>
        </w:tcPr>
        <w:p w14:paraId="00233554" w14:textId="77777777" w:rsidR="00025C81" w:rsidRDefault="001A4929">
          <w:pPr>
            <w:pStyle w:val="Nagwek2"/>
            <w:rPr>
              <w:rFonts w:ascii="Arial" w:eastAsia="Arial" w:hAnsi="Arial" w:cs="Arial"/>
              <w:color w:val="696B6B"/>
            </w:rPr>
          </w:pPr>
          <w:r>
            <w:rPr>
              <w:rFonts w:ascii="Arial" w:eastAsia="Arial" w:hAnsi="Arial" w:cs="Arial"/>
              <w:color w:val="696B6B"/>
            </w:rPr>
            <w:t>Media Contact:</w:t>
          </w:r>
        </w:p>
      </w:tc>
      <w:tc>
        <w:tcPr>
          <w:tcW w:w="3330" w:type="dxa"/>
          <w:vAlign w:val="bottom"/>
        </w:tcPr>
        <w:p w14:paraId="61C181ED" w14:textId="77777777" w:rsidR="00025C81" w:rsidRDefault="00025C81">
          <w:pPr>
            <w:spacing w:after="100" w:line="240" w:lineRule="auto"/>
            <w:rPr>
              <w:b/>
              <w:color w:val="696B6B"/>
              <w:sz w:val="18"/>
              <w:szCs w:val="18"/>
            </w:rPr>
          </w:pPr>
        </w:p>
      </w:tc>
    </w:tr>
    <w:tr w:rsidR="00F67554" w:rsidRPr="00FE7B2E" w14:paraId="17458FA5" w14:textId="77777777">
      <w:trPr>
        <w:trHeight w:val="1260"/>
      </w:trPr>
      <w:tc>
        <w:tcPr>
          <w:tcW w:w="5670" w:type="dxa"/>
          <w:vAlign w:val="bottom"/>
        </w:tcPr>
        <w:p w14:paraId="065B4F91" w14:textId="77777777" w:rsidR="00025C81" w:rsidRPr="00C8277A" w:rsidRDefault="001A4929">
          <w:pPr>
            <w:keepNext/>
            <w:keepLines/>
            <w:pBdr>
              <w:top w:val="nil"/>
              <w:left w:val="nil"/>
              <w:bottom w:val="nil"/>
              <w:right w:val="nil"/>
              <w:between w:val="nil"/>
            </w:pBdr>
            <w:spacing w:after="0"/>
            <w:rPr>
              <w:b/>
              <w:color w:val="696B6B"/>
              <w:sz w:val="18"/>
              <w:szCs w:val="18"/>
              <w:lang w:val="en-GB"/>
            </w:rPr>
          </w:pPr>
          <w:r w:rsidRPr="00C8277A">
            <w:rPr>
              <w:b/>
              <w:color w:val="696B6B"/>
              <w:sz w:val="18"/>
              <w:szCs w:val="18"/>
              <w:lang w:val="en-GB"/>
            </w:rPr>
            <w:t>Name</w:t>
          </w:r>
        </w:p>
        <w:p w14:paraId="78082AF7"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Title</w:t>
          </w:r>
        </w:p>
        <w:p w14:paraId="6C6535E5" w14:textId="77777777" w:rsidR="00025C81" w:rsidRPr="00C8277A" w:rsidRDefault="001A4929">
          <w:pPr>
            <w:pBdr>
              <w:top w:val="nil"/>
              <w:left w:val="nil"/>
              <w:bottom w:val="nil"/>
              <w:right w:val="nil"/>
              <w:between w:val="nil"/>
            </w:pBdr>
            <w:spacing w:after="0"/>
            <w:rPr>
              <w:color w:val="696B6B"/>
              <w:sz w:val="18"/>
              <w:szCs w:val="18"/>
              <w:lang w:val="en-GB"/>
            </w:rPr>
          </w:pPr>
          <w:r w:rsidRPr="00C8277A">
            <w:rPr>
              <w:color w:val="696B6B"/>
              <w:sz w:val="18"/>
              <w:szCs w:val="18"/>
              <w:lang w:val="en-GB"/>
            </w:rPr>
            <w:t>+1 000 000 0000</w:t>
          </w:r>
        </w:p>
        <w:p w14:paraId="01D18F40" w14:textId="7E1FEC25" w:rsidR="00025C81" w:rsidRPr="00C8277A" w:rsidRDefault="00B77D91">
          <w:pPr>
            <w:pBdr>
              <w:top w:val="nil"/>
              <w:left w:val="nil"/>
              <w:bottom w:val="nil"/>
              <w:right w:val="nil"/>
              <w:between w:val="nil"/>
            </w:pBdr>
            <w:spacing w:after="0"/>
            <w:rPr>
              <w:color w:val="696B6B"/>
              <w:sz w:val="18"/>
              <w:szCs w:val="18"/>
              <w:lang w:val="en-GB"/>
            </w:rPr>
          </w:pPr>
          <w:r>
            <w:fldChar w:fldCharType="begin"/>
          </w:r>
          <w:r w:rsidRPr="00FE7B2E">
            <w:rPr>
              <w:lang w:val="en-US"/>
            </w:rPr>
            <w:instrText>HYPERLINK "mailto:first.last@cushwake.com"</w:instrText>
          </w:r>
          <w:r>
            <w:fldChar w:fldCharType="separate"/>
          </w:r>
          <w:r w:rsidRPr="00D4241D">
            <w:rPr>
              <w:rStyle w:val="Hipercze"/>
              <w:sz w:val="18"/>
              <w:szCs w:val="18"/>
              <w:lang w:val="en-GB"/>
            </w:rPr>
            <w:t>first.last@cushwake.com</w:t>
          </w:r>
          <w:r>
            <w:fldChar w:fldCharType="end"/>
          </w:r>
          <w:r w:rsidR="001A4929" w:rsidRPr="00C8277A">
            <w:rPr>
              <w:color w:val="696B6B"/>
              <w:sz w:val="18"/>
              <w:szCs w:val="18"/>
              <w:lang w:val="en-GB"/>
            </w:rPr>
            <w:t xml:space="preserve"> </w:t>
          </w:r>
        </w:p>
      </w:tc>
      <w:tc>
        <w:tcPr>
          <w:tcW w:w="3330" w:type="dxa"/>
          <w:vAlign w:val="bottom"/>
        </w:tcPr>
        <w:p w14:paraId="5F7143DE" w14:textId="77777777" w:rsidR="00025C81" w:rsidRPr="00C8277A" w:rsidRDefault="00025C81">
          <w:pPr>
            <w:pBdr>
              <w:top w:val="nil"/>
              <w:left w:val="nil"/>
              <w:bottom w:val="nil"/>
              <w:right w:val="nil"/>
              <w:between w:val="nil"/>
            </w:pBdr>
            <w:spacing w:after="0"/>
            <w:rPr>
              <w:color w:val="696B6B"/>
              <w:sz w:val="18"/>
              <w:szCs w:val="18"/>
              <w:lang w:val="en-GB"/>
            </w:rPr>
          </w:pPr>
        </w:p>
      </w:tc>
    </w:tr>
  </w:tbl>
  <w:p w14:paraId="62A457F3" w14:textId="77777777" w:rsidR="00025C81" w:rsidRPr="00C8277A" w:rsidRDefault="00025C81">
    <w:pPr>
      <w:pBdr>
        <w:top w:val="nil"/>
        <w:left w:val="nil"/>
        <w:bottom w:val="nil"/>
        <w:right w:val="nil"/>
        <w:between w:val="nil"/>
      </w:pBdr>
      <w:tabs>
        <w:tab w:val="center" w:pos="4680"/>
        <w:tab w:val="right" w:pos="9360"/>
      </w:tabs>
      <w:spacing w:after="0" w:line="240" w:lineRule="auto"/>
      <w:rPr>
        <w:color w:val="00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C325" w14:textId="77777777" w:rsidR="001306B2" w:rsidRDefault="001306B2">
      <w:pPr>
        <w:spacing w:after="0" w:line="240" w:lineRule="auto"/>
      </w:pPr>
      <w:r>
        <w:separator/>
      </w:r>
    </w:p>
  </w:footnote>
  <w:footnote w:type="continuationSeparator" w:id="0">
    <w:p w14:paraId="28054FEC" w14:textId="77777777" w:rsidR="001306B2" w:rsidRDefault="001306B2">
      <w:pPr>
        <w:spacing w:after="0" w:line="240" w:lineRule="auto"/>
      </w:pPr>
      <w:r>
        <w:continuationSeparator/>
      </w:r>
    </w:p>
  </w:footnote>
  <w:footnote w:type="continuationNotice" w:id="1">
    <w:p w14:paraId="68388A26" w14:textId="77777777" w:rsidR="001306B2" w:rsidRDefault="00130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E98D"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36384EC7" wp14:editId="2933026F">
          <wp:simplePos x="0" y="0"/>
          <wp:positionH relativeFrom="column">
            <wp:posOffset>43133</wp:posOffset>
          </wp:positionH>
          <wp:positionV relativeFrom="paragraph">
            <wp:posOffset>-154975</wp:posOffset>
          </wp:positionV>
          <wp:extent cx="1933575" cy="4076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1D7A" w14:textId="77777777" w:rsidR="00025C81" w:rsidRDefault="001A492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88" behindDoc="0" locked="0" layoutInCell="1" hidden="0" allowOverlap="1" wp14:anchorId="24F12382" wp14:editId="51EBFB22">
          <wp:simplePos x="0" y="0"/>
          <wp:positionH relativeFrom="column">
            <wp:posOffset>3811</wp:posOffset>
          </wp:positionH>
          <wp:positionV relativeFrom="paragraph">
            <wp:posOffset>-201294</wp:posOffset>
          </wp:positionV>
          <wp:extent cx="1933575" cy="4076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968"/>
    <w:multiLevelType w:val="hybridMultilevel"/>
    <w:tmpl w:val="C66C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14EDF"/>
    <w:multiLevelType w:val="hybridMultilevel"/>
    <w:tmpl w:val="FA1236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8D0198"/>
    <w:multiLevelType w:val="hybridMultilevel"/>
    <w:tmpl w:val="A296F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6922B5"/>
    <w:multiLevelType w:val="hybridMultilevel"/>
    <w:tmpl w:val="EEF01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A974D6"/>
    <w:multiLevelType w:val="hybridMultilevel"/>
    <w:tmpl w:val="4D4E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378689">
    <w:abstractNumId w:val="4"/>
  </w:num>
  <w:num w:numId="2" w16cid:durableId="1580141190">
    <w:abstractNumId w:val="0"/>
  </w:num>
  <w:num w:numId="3" w16cid:durableId="2049640316">
    <w:abstractNumId w:val="3"/>
  </w:num>
  <w:num w:numId="4" w16cid:durableId="2116631385">
    <w:abstractNumId w:val="1"/>
  </w:num>
  <w:num w:numId="5" w16cid:durableId="106779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2D"/>
    <w:rsid w:val="00001D62"/>
    <w:rsid w:val="00003988"/>
    <w:rsid w:val="00004DE1"/>
    <w:rsid w:val="00005FD5"/>
    <w:rsid w:val="00007243"/>
    <w:rsid w:val="00013F59"/>
    <w:rsid w:val="00014ACA"/>
    <w:rsid w:val="000163D4"/>
    <w:rsid w:val="000203A2"/>
    <w:rsid w:val="000251E4"/>
    <w:rsid w:val="00025C81"/>
    <w:rsid w:val="00027F57"/>
    <w:rsid w:val="0003245E"/>
    <w:rsid w:val="00040FBF"/>
    <w:rsid w:val="00044C5B"/>
    <w:rsid w:val="0005438E"/>
    <w:rsid w:val="000666EE"/>
    <w:rsid w:val="000669E6"/>
    <w:rsid w:val="00067FD0"/>
    <w:rsid w:val="000700E2"/>
    <w:rsid w:val="000720F5"/>
    <w:rsid w:val="0008371E"/>
    <w:rsid w:val="00083F43"/>
    <w:rsid w:val="00086C80"/>
    <w:rsid w:val="0008772D"/>
    <w:rsid w:val="0009018C"/>
    <w:rsid w:val="00092C27"/>
    <w:rsid w:val="00093540"/>
    <w:rsid w:val="00096548"/>
    <w:rsid w:val="000A54A7"/>
    <w:rsid w:val="000A622E"/>
    <w:rsid w:val="000B142D"/>
    <w:rsid w:val="000B29DE"/>
    <w:rsid w:val="000B2DCC"/>
    <w:rsid w:val="000B57CB"/>
    <w:rsid w:val="000C1BB6"/>
    <w:rsid w:val="000C30AD"/>
    <w:rsid w:val="000C4210"/>
    <w:rsid w:val="000C4280"/>
    <w:rsid w:val="000C4294"/>
    <w:rsid w:val="000C585C"/>
    <w:rsid w:val="000C7645"/>
    <w:rsid w:val="000D4656"/>
    <w:rsid w:val="000D5790"/>
    <w:rsid w:val="000D5FED"/>
    <w:rsid w:val="000D68FD"/>
    <w:rsid w:val="000D7839"/>
    <w:rsid w:val="000E0EAC"/>
    <w:rsid w:val="000E71D0"/>
    <w:rsid w:val="000F64E0"/>
    <w:rsid w:val="000F7964"/>
    <w:rsid w:val="001013AF"/>
    <w:rsid w:val="001062D1"/>
    <w:rsid w:val="00111135"/>
    <w:rsid w:val="001141D8"/>
    <w:rsid w:val="001146DD"/>
    <w:rsid w:val="00114AF8"/>
    <w:rsid w:val="0011559A"/>
    <w:rsid w:val="0012061A"/>
    <w:rsid w:val="00122668"/>
    <w:rsid w:val="00124F62"/>
    <w:rsid w:val="001306B2"/>
    <w:rsid w:val="00132CB9"/>
    <w:rsid w:val="00132F07"/>
    <w:rsid w:val="00140D8B"/>
    <w:rsid w:val="00144415"/>
    <w:rsid w:val="00150F3F"/>
    <w:rsid w:val="00156F9C"/>
    <w:rsid w:val="0016097B"/>
    <w:rsid w:val="001635F6"/>
    <w:rsid w:val="00166861"/>
    <w:rsid w:val="00166F71"/>
    <w:rsid w:val="00167436"/>
    <w:rsid w:val="00174EBA"/>
    <w:rsid w:val="0017521E"/>
    <w:rsid w:val="00175FB4"/>
    <w:rsid w:val="00182C4F"/>
    <w:rsid w:val="00185967"/>
    <w:rsid w:val="0018688B"/>
    <w:rsid w:val="00190FB3"/>
    <w:rsid w:val="00196E5B"/>
    <w:rsid w:val="001A4929"/>
    <w:rsid w:val="001A56D9"/>
    <w:rsid w:val="001A70AD"/>
    <w:rsid w:val="001B5F5F"/>
    <w:rsid w:val="001B5FA0"/>
    <w:rsid w:val="001B6640"/>
    <w:rsid w:val="001B7AE3"/>
    <w:rsid w:val="001C0591"/>
    <w:rsid w:val="001C7005"/>
    <w:rsid w:val="001D08F3"/>
    <w:rsid w:val="001D401E"/>
    <w:rsid w:val="001D52B7"/>
    <w:rsid w:val="001E06FB"/>
    <w:rsid w:val="001E0E42"/>
    <w:rsid w:val="001E16E8"/>
    <w:rsid w:val="001E3C79"/>
    <w:rsid w:val="001E4E45"/>
    <w:rsid w:val="001E56EB"/>
    <w:rsid w:val="001F406E"/>
    <w:rsid w:val="001F7E37"/>
    <w:rsid w:val="00204C52"/>
    <w:rsid w:val="00206001"/>
    <w:rsid w:val="002117B9"/>
    <w:rsid w:val="002125FE"/>
    <w:rsid w:val="00212E0F"/>
    <w:rsid w:val="00217BD6"/>
    <w:rsid w:val="002240B1"/>
    <w:rsid w:val="00225B1A"/>
    <w:rsid w:val="00236B04"/>
    <w:rsid w:val="002426EF"/>
    <w:rsid w:val="0024400C"/>
    <w:rsid w:val="00246115"/>
    <w:rsid w:val="00251824"/>
    <w:rsid w:val="00251F00"/>
    <w:rsid w:val="00254581"/>
    <w:rsid w:val="00257ED3"/>
    <w:rsid w:val="0026004F"/>
    <w:rsid w:val="00260C7D"/>
    <w:rsid w:val="00261AA0"/>
    <w:rsid w:val="002633C5"/>
    <w:rsid w:val="00265F1D"/>
    <w:rsid w:val="0026615D"/>
    <w:rsid w:val="00266AA6"/>
    <w:rsid w:val="002730A2"/>
    <w:rsid w:val="00275982"/>
    <w:rsid w:val="00275F1E"/>
    <w:rsid w:val="00275FDC"/>
    <w:rsid w:val="0028046B"/>
    <w:rsid w:val="00281BFB"/>
    <w:rsid w:val="0028223D"/>
    <w:rsid w:val="00282FB7"/>
    <w:rsid w:val="00284E92"/>
    <w:rsid w:val="00285282"/>
    <w:rsid w:val="00286DC7"/>
    <w:rsid w:val="002915E5"/>
    <w:rsid w:val="00293086"/>
    <w:rsid w:val="00293E07"/>
    <w:rsid w:val="00293ED2"/>
    <w:rsid w:val="00295599"/>
    <w:rsid w:val="002958EB"/>
    <w:rsid w:val="0029652C"/>
    <w:rsid w:val="002967FF"/>
    <w:rsid w:val="0029787D"/>
    <w:rsid w:val="002A197E"/>
    <w:rsid w:val="002A37FC"/>
    <w:rsid w:val="002A43B7"/>
    <w:rsid w:val="002B212F"/>
    <w:rsid w:val="002B381B"/>
    <w:rsid w:val="002B4716"/>
    <w:rsid w:val="002B6B39"/>
    <w:rsid w:val="002C06D5"/>
    <w:rsid w:val="002C1DFF"/>
    <w:rsid w:val="002C42A4"/>
    <w:rsid w:val="002C480C"/>
    <w:rsid w:val="002C5887"/>
    <w:rsid w:val="002D0B42"/>
    <w:rsid w:val="002D4EC6"/>
    <w:rsid w:val="002D5829"/>
    <w:rsid w:val="002D7779"/>
    <w:rsid w:val="002E0BB0"/>
    <w:rsid w:val="002E1729"/>
    <w:rsid w:val="002E2D30"/>
    <w:rsid w:val="002E7F16"/>
    <w:rsid w:val="002F0666"/>
    <w:rsid w:val="002F08E1"/>
    <w:rsid w:val="002F0F48"/>
    <w:rsid w:val="002F447F"/>
    <w:rsid w:val="00300BC4"/>
    <w:rsid w:val="00302886"/>
    <w:rsid w:val="00306BFA"/>
    <w:rsid w:val="00310D2A"/>
    <w:rsid w:val="0032157F"/>
    <w:rsid w:val="0032389F"/>
    <w:rsid w:val="003278D0"/>
    <w:rsid w:val="0034418D"/>
    <w:rsid w:val="00345D04"/>
    <w:rsid w:val="00345D09"/>
    <w:rsid w:val="00346CB1"/>
    <w:rsid w:val="0035396B"/>
    <w:rsid w:val="00364117"/>
    <w:rsid w:val="00371AFD"/>
    <w:rsid w:val="00374DB8"/>
    <w:rsid w:val="00385CB8"/>
    <w:rsid w:val="0038604F"/>
    <w:rsid w:val="00387CAF"/>
    <w:rsid w:val="003936DF"/>
    <w:rsid w:val="003A24D4"/>
    <w:rsid w:val="003A693E"/>
    <w:rsid w:val="003A70E2"/>
    <w:rsid w:val="003B2048"/>
    <w:rsid w:val="003B2BE6"/>
    <w:rsid w:val="003B3560"/>
    <w:rsid w:val="003B78C7"/>
    <w:rsid w:val="003C1BBA"/>
    <w:rsid w:val="003C1E58"/>
    <w:rsid w:val="003C5AF3"/>
    <w:rsid w:val="003C5B29"/>
    <w:rsid w:val="003C791A"/>
    <w:rsid w:val="003E003A"/>
    <w:rsid w:val="003E0201"/>
    <w:rsid w:val="003E3F99"/>
    <w:rsid w:val="003E406F"/>
    <w:rsid w:val="003F4AAD"/>
    <w:rsid w:val="003F572E"/>
    <w:rsid w:val="003F60EA"/>
    <w:rsid w:val="003F7D86"/>
    <w:rsid w:val="004001BC"/>
    <w:rsid w:val="00403626"/>
    <w:rsid w:val="00410D62"/>
    <w:rsid w:val="004112C0"/>
    <w:rsid w:val="0042183C"/>
    <w:rsid w:val="0042255F"/>
    <w:rsid w:val="004329C4"/>
    <w:rsid w:val="00432ACA"/>
    <w:rsid w:val="00433A40"/>
    <w:rsid w:val="0043767F"/>
    <w:rsid w:val="00440D65"/>
    <w:rsid w:val="00443EFE"/>
    <w:rsid w:val="00451C25"/>
    <w:rsid w:val="00452FD6"/>
    <w:rsid w:val="00454222"/>
    <w:rsid w:val="00454311"/>
    <w:rsid w:val="00455C93"/>
    <w:rsid w:val="00457545"/>
    <w:rsid w:val="00461B2F"/>
    <w:rsid w:val="00461F73"/>
    <w:rsid w:val="00462B62"/>
    <w:rsid w:val="00464434"/>
    <w:rsid w:val="00464B72"/>
    <w:rsid w:val="00466300"/>
    <w:rsid w:val="00466ABC"/>
    <w:rsid w:val="004678CA"/>
    <w:rsid w:val="00471A22"/>
    <w:rsid w:val="00475534"/>
    <w:rsid w:val="00482366"/>
    <w:rsid w:val="004876E8"/>
    <w:rsid w:val="004900F3"/>
    <w:rsid w:val="00490581"/>
    <w:rsid w:val="00491EA1"/>
    <w:rsid w:val="0049367E"/>
    <w:rsid w:val="00497908"/>
    <w:rsid w:val="004A01E8"/>
    <w:rsid w:val="004A5B66"/>
    <w:rsid w:val="004B0979"/>
    <w:rsid w:val="004B1245"/>
    <w:rsid w:val="004B3D1A"/>
    <w:rsid w:val="004B5A43"/>
    <w:rsid w:val="004C2C37"/>
    <w:rsid w:val="004C2E88"/>
    <w:rsid w:val="004D07CC"/>
    <w:rsid w:val="004D1450"/>
    <w:rsid w:val="004D16D5"/>
    <w:rsid w:val="004D62D2"/>
    <w:rsid w:val="004D68AD"/>
    <w:rsid w:val="004D6A3C"/>
    <w:rsid w:val="004D7C3B"/>
    <w:rsid w:val="004E0237"/>
    <w:rsid w:val="004E0A16"/>
    <w:rsid w:val="004E46E9"/>
    <w:rsid w:val="004E5A7E"/>
    <w:rsid w:val="004E7185"/>
    <w:rsid w:val="004F64D6"/>
    <w:rsid w:val="00502E72"/>
    <w:rsid w:val="0050412F"/>
    <w:rsid w:val="00505B70"/>
    <w:rsid w:val="00506665"/>
    <w:rsid w:val="005100DD"/>
    <w:rsid w:val="00512047"/>
    <w:rsid w:val="00512ADF"/>
    <w:rsid w:val="0051329D"/>
    <w:rsid w:val="005136A0"/>
    <w:rsid w:val="0051644B"/>
    <w:rsid w:val="00517B59"/>
    <w:rsid w:val="00520076"/>
    <w:rsid w:val="005229AB"/>
    <w:rsid w:val="00531CF4"/>
    <w:rsid w:val="00531D93"/>
    <w:rsid w:val="005323BE"/>
    <w:rsid w:val="005352C0"/>
    <w:rsid w:val="005369D7"/>
    <w:rsid w:val="00537747"/>
    <w:rsid w:val="00541459"/>
    <w:rsid w:val="00541512"/>
    <w:rsid w:val="00541D5B"/>
    <w:rsid w:val="00552477"/>
    <w:rsid w:val="00552FCF"/>
    <w:rsid w:val="0055434C"/>
    <w:rsid w:val="00561829"/>
    <w:rsid w:val="005631C3"/>
    <w:rsid w:val="00566AB7"/>
    <w:rsid w:val="00577005"/>
    <w:rsid w:val="00580984"/>
    <w:rsid w:val="00580A25"/>
    <w:rsid w:val="0058421C"/>
    <w:rsid w:val="00585A4F"/>
    <w:rsid w:val="005860D9"/>
    <w:rsid w:val="005878DD"/>
    <w:rsid w:val="00591DBB"/>
    <w:rsid w:val="00592299"/>
    <w:rsid w:val="005A3A4C"/>
    <w:rsid w:val="005A4560"/>
    <w:rsid w:val="005B4D77"/>
    <w:rsid w:val="005C01D2"/>
    <w:rsid w:val="005C140E"/>
    <w:rsid w:val="005C1A2F"/>
    <w:rsid w:val="005C2765"/>
    <w:rsid w:val="005C3C3C"/>
    <w:rsid w:val="005C4360"/>
    <w:rsid w:val="005C6332"/>
    <w:rsid w:val="005C6C24"/>
    <w:rsid w:val="005C72CD"/>
    <w:rsid w:val="005D05E5"/>
    <w:rsid w:val="005D06CC"/>
    <w:rsid w:val="005D3204"/>
    <w:rsid w:val="005D4DD1"/>
    <w:rsid w:val="005D5EEB"/>
    <w:rsid w:val="005E2C9B"/>
    <w:rsid w:val="005E2EC7"/>
    <w:rsid w:val="005E36C1"/>
    <w:rsid w:val="005E49BA"/>
    <w:rsid w:val="005F709A"/>
    <w:rsid w:val="00601B86"/>
    <w:rsid w:val="006020AF"/>
    <w:rsid w:val="00603782"/>
    <w:rsid w:val="00606E7D"/>
    <w:rsid w:val="00606F29"/>
    <w:rsid w:val="00607408"/>
    <w:rsid w:val="00612A79"/>
    <w:rsid w:val="00617929"/>
    <w:rsid w:val="00624E73"/>
    <w:rsid w:val="00625117"/>
    <w:rsid w:val="00625DBC"/>
    <w:rsid w:val="00626706"/>
    <w:rsid w:val="00633DEF"/>
    <w:rsid w:val="00634853"/>
    <w:rsid w:val="00634A82"/>
    <w:rsid w:val="00635B11"/>
    <w:rsid w:val="006367C0"/>
    <w:rsid w:val="00647BF0"/>
    <w:rsid w:val="00654588"/>
    <w:rsid w:val="00655594"/>
    <w:rsid w:val="00661892"/>
    <w:rsid w:val="00661C7D"/>
    <w:rsid w:val="00662194"/>
    <w:rsid w:val="00670CB1"/>
    <w:rsid w:val="006714A0"/>
    <w:rsid w:val="00674476"/>
    <w:rsid w:val="0067480E"/>
    <w:rsid w:val="00674AAF"/>
    <w:rsid w:val="00675B1B"/>
    <w:rsid w:val="0067607F"/>
    <w:rsid w:val="006807CC"/>
    <w:rsid w:val="00681518"/>
    <w:rsid w:val="00682F1F"/>
    <w:rsid w:val="00683345"/>
    <w:rsid w:val="0068616F"/>
    <w:rsid w:val="00686CF4"/>
    <w:rsid w:val="0069258A"/>
    <w:rsid w:val="00695E5E"/>
    <w:rsid w:val="006A32B9"/>
    <w:rsid w:val="006B114D"/>
    <w:rsid w:val="006B3391"/>
    <w:rsid w:val="006B635B"/>
    <w:rsid w:val="006B6EBE"/>
    <w:rsid w:val="006C3D4A"/>
    <w:rsid w:val="006C449A"/>
    <w:rsid w:val="006C62BD"/>
    <w:rsid w:val="006D189F"/>
    <w:rsid w:val="006D1EF1"/>
    <w:rsid w:val="006D68E0"/>
    <w:rsid w:val="006E2861"/>
    <w:rsid w:val="006E2DCD"/>
    <w:rsid w:val="006E5291"/>
    <w:rsid w:val="006E5816"/>
    <w:rsid w:val="006E5F0D"/>
    <w:rsid w:val="006F06A0"/>
    <w:rsid w:val="006F394D"/>
    <w:rsid w:val="007014E6"/>
    <w:rsid w:val="00703171"/>
    <w:rsid w:val="00706617"/>
    <w:rsid w:val="00706A7F"/>
    <w:rsid w:val="00710F25"/>
    <w:rsid w:val="00717182"/>
    <w:rsid w:val="00717324"/>
    <w:rsid w:val="00725B3C"/>
    <w:rsid w:val="00725E13"/>
    <w:rsid w:val="00730F22"/>
    <w:rsid w:val="007326D4"/>
    <w:rsid w:val="00736585"/>
    <w:rsid w:val="00742036"/>
    <w:rsid w:val="007434AC"/>
    <w:rsid w:val="00747126"/>
    <w:rsid w:val="00747E51"/>
    <w:rsid w:val="0075095C"/>
    <w:rsid w:val="00751E88"/>
    <w:rsid w:val="00753387"/>
    <w:rsid w:val="00754C88"/>
    <w:rsid w:val="00757A3F"/>
    <w:rsid w:val="007640FE"/>
    <w:rsid w:val="00770B4C"/>
    <w:rsid w:val="00771251"/>
    <w:rsid w:val="00773AAB"/>
    <w:rsid w:val="00775E16"/>
    <w:rsid w:val="00781238"/>
    <w:rsid w:val="00781D70"/>
    <w:rsid w:val="00782A9B"/>
    <w:rsid w:val="00790531"/>
    <w:rsid w:val="00790E9B"/>
    <w:rsid w:val="00791DF5"/>
    <w:rsid w:val="0079250E"/>
    <w:rsid w:val="00792ECE"/>
    <w:rsid w:val="00792F37"/>
    <w:rsid w:val="007A354E"/>
    <w:rsid w:val="007A6E6F"/>
    <w:rsid w:val="007B0283"/>
    <w:rsid w:val="007B1B45"/>
    <w:rsid w:val="007B20DD"/>
    <w:rsid w:val="007B2567"/>
    <w:rsid w:val="007B2741"/>
    <w:rsid w:val="007B54E0"/>
    <w:rsid w:val="007B6E2A"/>
    <w:rsid w:val="007B7606"/>
    <w:rsid w:val="007C69D0"/>
    <w:rsid w:val="007D2192"/>
    <w:rsid w:val="007D4408"/>
    <w:rsid w:val="007D74D5"/>
    <w:rsid w:val="007E6CDD"/>
    <w:rsid w:val="007F13AB"/>
    <w:rsid w:val="007F2FE9"/>
    <w:rsid w:val="007F5890"/>
    <w:rsid w:val="007F65D7"/>
    <w:rsid w:val="007F7F38"/>
    <w:rsid w:val="008014DA"/>
    <w:rsid w:val="00802ECA"/>
    <w:rsid w:val="00810A93"/>
    <w:rsid w:val="00810C6C"/>
    <w:rsid w:val="0081370C"/>
    <w:rsid w:val="0081778B"/>
    <w:rsid w:val="0082036C"/>
    <w:rsid w:val="00821380"/>
    <w:rsid w:val="00824654"/>
    <w:rsid w:val="00824D18"/>
    <w:rsid w:val="0083179A"/>
    <w:rsid w:val="00831919"/>
    <w:rsid w:val="00831B7D"/>
    <w:rsid w:val="00842064"/>
    <w:rsid w:val="00842687"/>
    <w:rsid w:val="0084290C"/>
    <w:rsid w:val="00843BB8"/>
    <w:rsid w:val="0085202E"/>
    <w:rsid w:val="00856BE4"/>
    <w:rsid w:val="00865458"/>
    <w:rsid w:val="00866DDD"/>
    <w:rsid w:val="00871766"/>
    <w:rsid w:val="00872092"/>
    <w:rsid w:val="00872873"/>
    <w:rsid w:val="00874BB3"/>
    <w:rsid w:val="008753CF"/>
    <w:rsid w:val="008772B7"/>
    <w:rsid w:val="00880E20"/>
    <w:rsid w:val="00881769"/>
    <w:rsid w:val="0088277B"/>
    <w:rsid w:val="00882E1D"/>
    <w:rsid w:val="008848B1"/>
    <w:rsid w:val="00885E0C"/>
    <w:rsid w:val="00895739"/>
    <w:rsid w:val="00895809"/>
    <w:rsid w:val="00895F80"/>
    <w:rsid w:val="008972B1"/>
    <w:rsid w:val="008974F3"/>
    <w:rsid w:val="008A26A0"/>
    <w:rsid w:val="008A3A39"/>
    <w:rsid w:val="008A3F07"/>
    <w:rsid w:val="008B26B4"/>
    <w:rsid w:val="008B352B"/>
    <w:rsid w:val="008B4539"/>
    <w:rsid w:val="008B5162"/>
    <w:rsid w:val="008C14E5"/>
    <w:rsid w:val="008C390B"/>
    <w:rsid w:val="008C42CD"/>
    <w:rsid w:val="008C5675"/>
    <w:rsid w:val="008C6651"/>
    <w:rsid w:val="008D009F"/>
    <w:rsid w:val="008D1B69"/>
    <w:rsid w:val="008D4FB5"/>
    <w:rsid w:val="008E34FB"/>
    <w:rsid w:val="008E5B6C"/>
    <w:rsid w:val="008F01FC"/>
    <w:rsid w:val="008F034B"/>
    <w:rsid w:val="008F0AAC"/>
    <w:rsid w:val="008F1B4D"/>
    <w:rsid w:val="008F2C02"/>
    <w:rsid w:val="008F2CFF"/>
    <w:rsid w:val="008F7EA7"/>
    <w:rsid w:val="00901841"/>
    <w:rsid w:val="00904E04"/>
    <w:rsid w:val="00911FF4"/>
    <w:rsid w:val="00914465"/>
    <w:rsid w:val="0091784B"/>
    <w:rsid w:val="00920635"/>
    <w:rsid w:val="00920BE7"/>
    <w:rsid w:val="00921FC7"/>
    <w:rsid w:val="00927365"/>
    <w:rsid w:val="00935219"/>
    <w:rsid w:val="00940284"/>
    <w:rsid w:val="00941B66"/>
    <w:rsid w:val="00943336"/>
    <w:rsid w:val="00945854"/>
    <w:rsid w:val="00946C47"/>
    <w:rsid w:val="009522F7"/>
    <w:rsid w:val="00953475"/>
    <w:rsid w:val="00956547"/>
    <w:rsid w:val="00962A05"/>
    <w:rsid w:val="00965609"/>
    <w:rsid w:val="0096608A"/>
    <w:rsid w:val="0096799A"/>
    <w:rsid w:val="00967B91"/>
    <w:rsid w:val="00971AF5"/>
    <w:rsid w:val="0097409A"/>
    <w:rsid w:val="009743FC"/>
    <w:rsid w:val="00976C95"/>
    <w:rsid w:val="00977641"/>
    <w:rsid w:val="00977AE0"/>
    <w:rsid w:val="00981706"/>
    <w:rsid w:val="0098288E"/>
    <w:rsid w:val="00983E80"/>
    <w:rsid w:val="009902A1"/>
    <w:rsid w:val="00991BD2"/>
    <w:rsid w:val="00993D91"/>
    <w:rsid w:val="00994AF6"/>
    <w:rsid w:val="00997139"/>
    <w:rsid w:val="009A1D96"/>
    <w:rsid w:val="009A7442"/>
    <w:rsid w:val="009B0753"/>
    <w:rsid w:val="009B11D8"/>
    <w:rsid w:val="009B52EC"/>
    <w:rsid w:val="009B7F16"/>
    <w:rsid w:val="009C075D"/>
    <w:rsid w:val="009C3E62"/>
    <w:rsid w:val="009C5621"/>
    <w:rsid w:val="009C7F14"/>
    <w:rsid w:val="009D025D"/>
    <w:rsid w:val="009D233E"/>
    <w:rsid w:val="009D31EC"/>
    <w:rsid w:val="009E408E"/>
    <w:rsid w:val="009E4572"/>
    <w:rsid w:val="009E7575"/>
    <w:rsid w:val="009F15E7"/>
    <w:rsid w:val="009F196F"/>
    <w:rsid w:val="009F274E"/>
    <w:rsid w:val="009F35CD"/>
    <w:rsid w:val="009F389F"/>
    <w:rsid w:val="00A0080F"/>
    <w:rsid w:val="00A06149"/>
    <w:rsid w:val="00A0629B"/>
    <w:rsid w:val="00A10255"/>
    <w:rsid w:val="00A12517"/>
    <w:rsid w:val="00A12551"/>
    <w:rsid w:val="00A12BAB"/>
    <w:rsid w:val="00A13F0B"/>
    <w:rsid w:val="00A1678D"/>
    <w:rsid w:val="00A17001"/>
    <w:rsid w:val="00A176AA"/>
    <w:rsid w:val="00A201A3"/>
    <w:rsid w:val="00A2466A"/>
    <w:rsid w:val="00A24875"/>
    <w:rsid w:val="00A27372"/>
    <w:rsid w:val="00A31C14"/>
    <w:rsid w:val="00A31F0C"/>
    <w:rsid w:val="00A32483"/>
    <w:rsid w:val="00A33E4A"/>
    <w:rsid w:val="00A344ED"/>
    <w:rsid w:val="00A425AB"/>
    <w:rsid w:val="00A4481B"/>
    <w:rsid w:val="00A44A37"/>
    <w:rsid w:val="00A47FCD"/>
    <w:rsid w:val="00A52218"/>
    <w:rsid w:val="00A54E85"/>
    <w:rsid w:val="00A54FA6"/>
    <w:rsid w:val="00A55BAF"/>
    <w:rsid w:val="00A63543"/>
    <w:rsid w:val="00A6616D"/>
    <w:rsid w:val="00A66644"/>
    <w:rsid w:val="00A714B6"/>
    <w:rsid w:val="00A73BB9"/>
    <w:rsid w:val="00A74CD5"/>
    <w:rsid w:val="00A74D49"/>
    <w:rsid w:val="00A758B5"/>
    <w:rsid w:val="00A77239"/>
    <w:rsid w:val="00A77A0A"/>
    <w:rsid w:val="00A840D5"/>
    <w:rsid w:val="00A91E08"/>
    <w:rsid w:val="00A93515"/>
    <w:rsid w:val="00A94F3D"/>
    <w:rsid w:val="00A959F1"/>
    <w:rsid w:val="00A97129"/>
    <w:rsid w:val="00A97D53"/>
    <w:rsid w:val="00AA15B2"/>
    <w:rsid w:val="00AA2003"/>
    <w:rsid w:val="00AA3E59"/>
    <w:rsid w:val="00AA69D2"/>
    <w:rsid w:val="00AB1473"/>
    <w:rsid w:val="00AB3146"/>
    <w:rsid w:val="00AB6698"/>
    <w:rsid w:val="00AB6E9C"/>
    <w:rsid w:val="00AB7DB1"/>
    <w:rsid w:val="00AC3A00"/>
    <w:rsid w:val="00AC5B79"/>
    <w:rsid w:val="00AC62A5"/>
    <w:rsid w:val="00AC6DF8"/>
    <w:rsid w:val="00AD08F0"/>
    <w:rsid w:val="00AD1D8B"/>
    <w:rsid w:val="00AD30C6"/>
    <w:rsid w:val="00AD3616"/>
    <w:rsid w:val="00AD3963"/>
    <w:rsid w:val="00AD4DD9"/>
    <w:rsid w:val="00AD7B18"/>
    <w:rsid w:val="00AF11EE"/>
    <w:rsid w:val="00AF254B"/>
    <w:rsid w:val="00AF3577"/>
    <w:rsid w:val="00B01460"/>
    <w:rsid w:val="00B0179B"/>
    <w:rsid w:val="00B022DB"/>
    <w:rsid w:val="00B045BF"/>
    <w:rsid w:val="00B077A8"/>
    <w:rsid w:val="00B133BB"/>
    <w:rsid w:val="00B14FED"/>
    <w:rsid w:val="00B15D9B"/>
    <w:rsid w:val="00B15EE3"/>
    <w:rsid w:val="00B2047D"/>
    <w:rsid w:val="00B22689"/>
    <w:rsid w:val="00B25BB3"/>
    <w:rsid w:val="00B26C09"/>
    <w:rsid w:val="00B27B61"/>
    <w:rsid w:val="00B3629E"/>
    <w:rsid w:val="00B37EEB"/>
    <w:rsid w:val="00B41663"/>
    <w:rsid w:val="00B44499"/>
    <w:rsid w:val="00B4722F"/>
    <w:rsid w:val="00B53CF6"/>
    <w:rsid w:val="00B57D96"/>
    <w:rsid w:val="00B60EBB"/>
    <w:rsid w:val="00B61A36"/>
    <w:rsid w:val="00B62C50"/>
    <w:rsid w:val="00B6594B"/>
    <w:rsid w:val="00B65DD4"/>
    <w:rsid w:val="00B6706E"/>
    <w:rsid w:val="00B70FF6"/>
    <w:rsid w:val="00B71EE8"/>
    <w:rsid w:val="00B77D91"/>
    <w:rsid w:val="00B807B3"/>
    <w:rsid w:val="00B807FC"/>
    <w:rsid w:val="00B812E5"/>
    <w:rsid w:val="00B834FC"/>
    <w:rsid w:val="00B83758"/>
    <w:rsid w:val="00B86C86"/>
    <w:rsid w:val="00B930BE"/>
    <w:rsid w:val="00B95B93"/>
    <w:rsid w:val="00B96FB6"/>
    <w:rsid w:val="00B970B4"/>
    <w:rsid w:val="00BA6FD6"/>
    <w:rsid w:val="00BB562E"/>
    <w:rsid w:val="00BB5E4C"/>
    <w:rsid w:val="00BC1E2F"/>
    <w:rsid w:val="00BC2537"/>
    <w:rsid w:val="00BC40B8"/>
    <w:rsid w:val="00BD1331"/>
    <w:rsid w:val="00BD14D7"/>
    <w:rsid w:val="00BD2944"/>
    <w:rsid w:val="00BD36A0"/>
    <w:rsid w:val="00BE0588"/>
    <w:rsid w:val="00BE1BE1"/>
    <w:rsid w:val="00BE3533"/>
    <w:rsid w:val="00BE4E4B"/>
    <w:rsid w:val="00BE65D4"/>
    <w:rsid w:val="00BE7960"/>
    <w:rsid w:val="00BF1FC1"/>
    <w:rsid w:val="00BF4150"/>
    <w:rsid w:val="00C01F9F"/>
    <w:rsid w:val="00C02E1C"/>
    <w:rsid w:val="00C0604F"/>
    <w:rsid w:val="00C06706"/>
    <w:rsid w:val="00C11029"/>
    <w:rsid w:val="00C11181"/>
    <w:rsid w:val="00C12505"/>
    <w:rsid w:val="00C166DD"/>
    <w:rsid w:val="00C22606"/>
    <w:rsid w:val="00C238C5"/>
    <w:rsid w:val="00C247D4"/>
    <w:rsid w:val="00C303DB"/>
    <w:rsid w:val="00C308E0"/>
    <w:rsid w:val="00C31642"/>
    <w:rsid w:val="00C32131"/>
    <w:rsid w:val="00C33DDD"/>
    <w:rsid w:val="00C40209"/>
    <w:rsid w:val="00C41803"/>
    <w:rsid w:val="00C45FBA"/>
    <w:rsid w:val="00C473D1"/>
    <w:rsid w:val="00C50CBE"/>
    <w:rsid w:val="00C54EBE"/>
    <w:rsid w:val="00C566FF"/>
    <w:rsid w:val="00C57B80"/>
    <w:rsid w:val="00C61185"/>
    <w:rsid w:val="00C64BA5"/>
    <w:rsid w:val="00C651A2"/>
    <w:rsid w:val="00C679F5"/>
    <w:rsid w:val="00C75D9E"/>
    <w:rsid w:val="00C80B91"/>
    <w:rsid w:val="00C8288B"/>
    <w:rsid w:val="00C84B50"/>
    <w:rsid w:val="00C85469"/>
    <w:rsid w:val="00C859F9"/>
    <w:rsid w:val="00C87432"/>
    <w:rsid w:val="00C92A7E"/>
    <w:rsid w:val="00C93DDE"/>
    <w:rsid w:val="00CA19DF"/>
    <w:rsid w:val="00CA4EB4"/>
    <w:rsid w:val="00CA7DF7"/>
    <w:rsid w:val="00CB2FB2"/>
    <w:rsid w:val="00CB3CE8"/>
    <w:rsid w:val="00CB7946"/>
    <w:rsid w:val="00CB7A18"/>
    <w:rsid w:val="00CC60E7"/>
    <w:rsid w:val="00CC7487"/>
    <w:rsid w:val="00CD1E75"/>
    <w:rsid w:val="00CD34FC"/>
    <w:rsid w:val="00CD706B"/>
    <w:rsid w:val="00CE1EF8"/>
    <w:rsid w:val="00CE213B"/>
    <w:rsid w:val="00CE2AE1"/>
    <w:rsid w:val="00CF0AA6"/>
    <w:rsid w:val="00CF0E46"/>
    <w:rsid w:val="00CF1D2A"/>
    <w:rsid w:val="00CF59BB"/>
    <w:rsid w:val="00CF5A2C"/>
    <w:rsid w:val="00CF6633"/>
    <w:rsid w:val="00D00B7B"/>
    <w:rsid w:val="00D02817"/>
    <w:rsid w:val="00D076D0"/>
    <w:rsid w:val="00D134B7"/>
    <w:rsid w:val="00D13894"/>
    <w:rsid w:val="00D17A41"/>
    <w:rsid w:val="00D20FAA"/>
    <w:rsid w:val="00D21D09"/>
    <w:rsid w:val="00D23948"/>
    <w:rsid w:val="00D30573"/>
    <w:rsid w:val="00D36A8C"/>
    <w:rsid w:val="00D428F4"/>
    <w:rsid w:val="00D43181"/>
    <w:rsid w:val="00D43DF0"/>
    <w:rsid w:val="00D44D7F"/>
    <w:rsid w:val="00D4536C"/>
    <w:rsid w:val="00D45C41"/>
    <w:rsid w:val="00D461DE"/>
    <w:rsid w:val="00D50DE5"/>
    <w:rsid w:val="00D54B27"/>
    <w:rsid w:val="00D54CC0"/>
    <w:rsid w:val="00D63173"/>
    <w:rsid w:val="00D63DA8"/>
    <w:rsid w:val="00D67658"/>
    <w:rsid w:val="00D73A86"/>
    <w:rsid w:val="00D74BA3"/>
    <w:rsid w:val="00D804D2"/>
    <w:rsid w:val="00D81E2F"/>
    <w:rsid w:val="00D83060"/>
    <w:rsid w:val="00D84A2D"/>
    <w:rsid w:val="00D8749B"/>
    <w:rsid w:val="00DA4CF2"/>
    <w:rsid w:val="00DB11D4"/>
    <w:rsid w:val="00DB227F"/>
    <w:rsid w:val="00DB38FC"/>
    <w:rsid w:val="00DB61A6"/>
    <w:rsid w:val="00DC3AC1"/>
    <w:rsid w:val="00DC4D4D"/>
    <w:rsid w:val="00DC5105"/>
    <w:rsid w:val="00DD20D1"/>
    <w:rsid w:val="00DD51F8"/>
    <w:rsid w:val="00DD64C5"/>
    <w:rsid w:val="00DE14E2"/>
    <w:rsid w:val="00DE15AC"/>
    <w:rsid w:val="00DE2C36"/>
    <w:rsid w:val="00DE2F94"/>
    <w:rsid w:val="00DE3500"/>
    <w:rsid w:val="00DE4595"/>
    <w:rsid w:val="00DE6B35"/>
    <w:rsid w:val="00DE6C59"/>
    <w:rsid w:val="00DE70C2"/>
    <w:rsid w:val="00DF0675"/>
    <w:rsid w:val="00DF4FE6"/>
    <w:rsid w:val="00DF580D"/>
    <w:rsid w:val="00DF6FDA"/>
    <w:rsid w:val="00DF764B"/>
    <w:rsid w:val="00DF7E2B"/>
    <w:rsid w:val="00E05885"/>
    <w:rsid w:val="00E10BFB"/>
    <w:rsid w:val="00E1249A"/>
    <w:rsid w:val="00E12880"/>
    <w:rsid w:val="00E14D9E"/>
    <w:rsid w:val="00E16DA6"/>
    <w:rsid w:val="00E21904"/>
    <w:rsid w:val="00E21E99"/>
    <w:rsid w:val="00E2228E"/>
    <w:rsid w:val="00E23E56"/>
    <w:rsid w:val="00E30FFC"/>
    <w:rsid w:val="00E327A1"/>
    <w:rsid w:val="00E33EF0"/>
    <w:rsid w:val="00E370BF"/>
    <w:rsid w:val="00E37CB8"/>
    <w:rsid w:val="00E4016D"/>
    <w:rsid w:val="00E42243"/>
    <w:rsid w:val="00E510C4"/>
    <w:rsid w:val="00E530B7"/>
    <w:rsid w:val="00E54066"/>
    <w:rsid w:val="00E57168"/>
    <w:rsid w:val="00E611A2"/>
    <w:rsid w:val="00E61BAB"/>
    <w:rsid w:val="00E729CB"/>
    <w:rsid w:val="00E73C50"/>
    <w:rsid w:val="00E73EA6"/>
    <w:rsid w:val="00E75C22"/>
    <w:rsid w:val="00E777C8"/>
    <w:rsid w:val="00E77FC4"/>
    <w:rsid w:val="00E8011B"/>
    <w:rsid w:val="00E80544"/>
    <w:rsid w:val="00E81EE4"/>
    <w:rsid w:val="00E8250A"/>
    <w:rsid w:val="00E82DCD"/>
    <w:rsid w:val="00E83444"/>
    <w:rsid w:val="00E849E6"/>
    <w:rsid w:val="00E84DD9"/>
    <w:rsid w:val="00E870C1"/>
    <w:rsid w:val="00E909E6"/>
    <w:rsid w:val="00E90B70"/>
    <w:rsid w:val="00E924EC"/>
    <w:rsid w:val="00E93BB0"/>
    <w:rsid w:val="00EA27C3"/>
    <w:rsid w:val="00EA2BEE"/>
    <w:rsid w:val="00EA440F"/>
    <w:rsid w:val="00EA5F36"/>
    <w:rsid w:val="00EA7A70"/>
    <w:rsid w:val="00EB15F9"/>
    <w:rsid w:val="00EB2AAE"/>
    <w:rsid w:val="00EB57CA"/>
    <w:rsid w:val="00EC07F6"/>
    <w:rsid w:val="00EC07FA"/>
    <w:rsid w:val="00EC5B03"/>
    <w:rsid w:val="00ED7B80"/>
    <w:rsid w:val="00EE087B"/>
    <w:rsid w:val="00EE0CC2"/>
    <w:rsid w:val="00EE18F8"/>
    <w:rsid w:val="00EE1DDC"/>
    <w:rsid w:val="00EE31D9"/>
    <w:rsid w:val="00EF0C53"/>
    <w:rsid w:val="00EF368A"/>
    <w:rsid w:val="00EF4FE0"/>
    <w:rsid w:val="00EF6F9D"/>
    <w:rsid w:val="00EF7495"/>
    <w:rsid w:val="00F038F0"/>
    <w:rsid w:val="00F04E2C"/>
    <w:rsid w:val="00F06CE8"/>
    <w:rsid w:val="00F0783D"/>
    <w:rsid w:val="00F1223A"/>
    <w:rsid w:val="00F12E5F"/>
    <w:rsid w:val="00F14E08"/>
    <w:rsid w:val="00F203B0"/>
    <w:rsid w:val="00F20CD7"/>
    <w:rsid w:val="00F210E9"/>
    <w:rsid w:val="00F2150A"/>
    <w:rsid w:val="00F22AF0"/>
    <w:rsid w:val="00F33929"/>
    <w:rsid w:val="00F35767"/>
    <w:rsid w:val="00F35BB4"/>
    <w:rsid w:val="00F42C1C"/>
    <w:rsid w:val="00F4744B"/>
    <w:rsid w:val="00F504FB"/>
    <w:rsid w:val="00F53D7B"/>
    <w:rsid w:val="00F55691"/>
    <w:rsid w:val="00F55B87"/>
    <w:rsid w:val="00F6361F"/>
    <w:rsid w:val="00F65724"/>
    <w:rsid w:val="00F66561"/>
    <w:rsid w:val="00F66B56"/>
    <w:rsid w:val="00F71390"/>
    <w:rsid w:val="00F72F62"/>
    <w:rsid w:val="00F73E1F"/>
    <w:rsid w:val="00F75F73"/>
    <w:rsid w:val="00F77459"/>
    <w:rsid w:val="00F805A5"/>
    <w:rsid w:val="00F809EE"/>
    <w:rsid w:val="00F82A3D"/>
    <w:rsid w:val="00F844E6"/>
    <w:rsid w:val="00F849DE"/>
    <w:rsid w:val="00F84BE4"/>
    <w:rsid w:val="00F865A3"/>
    <w:rsid w:val="00F909DB"/>
    <w:rsid w:val="00F93104"/>
    <w:rsid w:val="00F9314E"/>
    <w:rsid w:val="00F9432D"/>
    <w:rsid w:val="00F9475F"/>
    <w:rsid w:val="00F951BA"/>
    <w:rsid w:val="00FA2531"/>
    <w:rsid w:val="00FA4C1B"/>
    <w:rsid w:val="00FA5355"/>
    <w:rsid w:val="00FA6946"/>
    <w:rsid w:val="00FB35B4"/>
    <w:rsid w:val="00FB4542"/>
    <w:rsid w:val="00FB6C2F"/>
    <w:rsid w:val="00FC0091"/>
    <w:rsid w:val="00FC10E9"/>
    <w:rsid w:val="00FC23CC"/>
    <w:rsid w:val="00FC4FF0"/>
    <w:rsid w:val="00FC57BC"/>
    <w:rsid w:val="00FC5D7E"/>
    <w:rsid w:val="00FC6812"/>
    <w:rsid w:val="00FD01DC"/>
    <w:rsid w:val="00FD01E1"/>
    <w:rsid w:val="00FD13B2"/>
    <w:rsid w:val="00FD4DFC"/>
    <w:rsid w:val="00FD6173"/>
    <w:rsid w:val="00FE0A40"/>
    <w:rsid w:val="00FE3132"/>
    <w:rsid w:val="00FE47F2"/>
    <w:rsid w:val="00FE64F7"/>
    <w:rsid w:val="00FE6C0D"/>
    <w:rsid w:val="00FE7B2E"/>
    <w:rsid w:val="00FF10DD"/>
    <w:rsid w:val="00FF3240"/>
    <w:rsid w:val="00FF3C70"/>
    <w:rsid w:val="00FF519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817EE"/>
  <w15:docId w15:val="{E74CE97A-50E6-4BCC-AC12-AFDA3263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FBF"/>
    <w:pPr>
      <w:spacing w:after="200" w:line="276" w:lineRule="auto"/>
    </w:pPr>
    <w:rPr>
      <w:rFonts w:ascii="Arial" w:eastAsia="Arial" w:hAnsi="Arial" w:cs="Arial"/>
      <w:lang w:eastAsia="pl-PL"/>
    </w:rPr>
  </w:style>
  <w:style w:type="paragraph" w:styleId="Nagwek1">
    <w:name w:val="heading 1"/>
    <w:basedOn w:val="Normalny"/>
    <w:next w:val="Normalny"/>
    <w:link w:val="Nagwek1Znak"/>
    <w:uiPriority w:val="9"/>
    <w:qFormat/>
    <w:rsid w:val="00FE3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4A2D"/>
    <w:pPr>
      <w:keepNext/>
      <w:keepLines/>
      <w:spacing w:after="100"/>
      <w:outlineLvl w:val="1"/>
    </w:pPr>
    <w:rPr>
      <w:rFonts w:ascii="Calibri" w:eastAsia="Calibri" w:hAnsi="Calibri" w:cs="Calibri"/>
      <w:b/>
      <w:smallCaps/>
      <w:color w:val="008B98"/>
      <w:sz w:val="18"/>
      <w:szCs w:val="18"/>
    </w:rPr>
  </w:style>
  <w:style w:type="paragraph" w:styleId="Nagwek3">
    <w:name w:val="heading 3"/>
    <w:basedOn w:val="Normalny"/>
    <w:next w:val="Normalny"/>
    <w:link w:val="Nagwek3Znak"/>
    <w:uiPriority w:val="9"/>
    <w:semiHidden/>
    <w:unhideWhenUsed/>
    <w:qFormat/>
    <w:rsid w:val="00D84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4A2D"/>
    <w:rPr>
      <w:rFonts w:ascii="Calibri" w:eastAsia="Calibri" w:hAnsi="Calibri" w:cs="Calibri"/>
      <w:b/>
      <w:smallCaps/>
      <w:color w:val="008B98"/>
      <w:sz w:val="18"/>
      <w:szCs w:val="18"/>
      <w:lang w:eastAsia="pl-PL"/>
    </w:rPr>
  </w:style>
  <w:style w:type="paragraph" w:styleId="Stopka">
    <w:name w:val="footer"/>
    <w:basedOn w:val="Normalny"/>
    <w:link w:val="StopkaZnak"/>
    <w:uiPriority w:val="99"/>
    <w:unhideWhenUsed/>
    <w:rsid w:val="00D84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A2D"/>
    <w:rPr>
      <w:rFonts w:ascii="Arial" w:eastAsia="Arial" w:hAnsi="Arial" w:cs="Arial"/>
      <w:lang w:eastAsia="pl-PL"/>
    </w:rPr>
  </w:style>
  <w:style w:type="character" w:styleId="Hipercze">
    <w:name w:val="Hyperlink"/>
    <w:basedOn w:val="Domylnaczcionkaakapitu"/>
    <w:unhideWhenUsed/>
    <w:qFormat/>
    <w:rsid w:val="00D84A2D"/>
    <w:rPr>
      <w:color w:val="4472C4" w:themeColor="accent1"/>
      <w:u w:val="single"/>
    </w:rPr>
  </w:style>
  <w:style w:type="table" w:styleId="Tabela-Siatka">
    <w:name w:val="Table Grid"/>
    <w:basedOn w:val="Standardowy"/>
    <w:uiPriority w:val="59"/>
    <w:rsid w:val="00D84A2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Name"/>
    <w:basedOn w:val="Nagwek3"/>
    <w:qFormat/>
    <w:rsid w:val="00D84A2D"/>
    <w:pPr>
      <w:spacing w:before="0" w:line="216" w:lineRule="atLeast"/>
    </w:pPr>
    <w:rPr>
      <w:rFonts w:ascii="Calibri" w:eastAsia="Times New Roman" w:hAnsi="Calibri" w:cs="Times New Roman"/>
      <w:b/>
      <w:bCs/>
      <w:color w:val="008B98"/>
      <w:sz w:val="18"/>
      <w:lang w:val="en-GB" w:eastAsia="en-GB"/>
    </w:rPr>
  </w:style>
  <w:style w:type="paragraph" w:customStyle="1" w:styleId="ContactDetail">
    <w:name w:val="ContactDetail"/>
    <w:basedOn w:val="Normalny"/>
    <w:rsid w:val="00D84A2D"/>
    <w:pPr>
      <w:spacing w:after="0" w:line="216" w:lineRule="atLeast"/>
    </w:pPr>
    <w:rPr>
      <w:rFonts w:ascii="Calibri" w:eastAsia="Times New Roman" w:hAnsi="Calibri" w:cs="Times New Roman"/>
      <w:color w:val="000000"/>
      <w:sz w:val="18"/>
      <w:szCs w:val="24"/>
      <w:lang w:val="en-GB" w:eastAsia="en-GB"/>
    </w:rPr>
  </w:style>
  <w:style w:type="character" w:customStyle="1" w:styleId="Brak">
    <w:name w:val="Brak"/>
    <w:rsid w:val="00D84A2D"/>
  </w:style>
  <w:style w:type="character" w:customStyle="1" w:styleId="Hyperlink0">
    <w:name w:val="Hyperlink.0"/>
    <w:basedOn w:val="Brak"/>
    <w:rsid w:val="00D84A2D"/>
  </w:style>
  <w:style w:type="table" w:customStyle="1" w:styleId="PlainTable41">
    <w:name w:val="Plain Table 41"/>
    <w:basedOn w:val="Standardowy"/>
    <w:uiPriority w:val="44"/>
    <w:rsid w:val="00D84A2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wykytekst">
    <w:name w:val="Plain Text"/>
    <w:basedOn w:val="Normalny"/>
    <w:link w:val="ZwykytekstZnak"/>
    <w:uiPriority w:val="99"/>
    <w:unhideWhenUsed/>
    <w:rsid w:val="00D84A2D"/>
    <w:pPr>
      <w:spacing w:after="0" w:line="240" w:lineRule="auto"/>
    </w:pPr>
    <w:rPr>
      <w:rFonts w:ascii="Calibri" w:eastAsia="Times New Roman" w:hAnsi="Calibri" w:cs="Consolas"/>
      <w:szCs w:val="21"/>
    </w:rPr>
  </w:style>
  <w:style w:type="character" w:customStyle="1" w:styleId="ZwykytekstZnak">
    <w:name w:val="Zwykły tekst Znak"/>
    <w:basedOn w:val="Domylnaczcionkaakapitu"/>
    <w:link w:val="Zwykytekst"/>
    <w:uiPriority w:val="99"/>
    <w:rsid w:val="00D84A2D"/>
    <w:rPr>
      <w:rFonts w:ascii="Calibri" w:eastAsia="Times New Roman" w:hAnsi="Calibri" w:cs="Consolas"/>
      <w:szCs w:val="21"/>
      <w:lang w:eastAsia="pl-PL"/>
    </w:rPr>
  </w:style>
  <w:style w:type="character" w:customStyle="1" w:styleId="Nagwek3Znak">
    <w:name w:val="Nagłówek 3 Znak"/>
    <w:basedOn w:val="Domylnaczcionkaakapitu"/>
    <w:link w:val="Nagwek3"/>
    <w:uiPriority w:val="9"/>
    <w:semiHidden/>
    <w:rsid w:val="00D84A2D"/>
    <w:rPr>
      <w:rFonts w:asciiTheme="majorHAnsi" w:eastAsiaTheme="majorEastAsia" w:hAnsiTheme="majorHAnsi" w:cstheme="majorBidi"/>
      <w:color w:val="1F3763" w:themeColor="accent1" w:themeShade="7F"/>
      <w:sz w:val="24"/>
      <w:szCs w:val="24"/>
      <w:lang w:eastAsia="pl-PL"/>
    </w:rPr>
  </w:style>
  <w:style w:type="character" w:styleId="Odwoaniedokomentarza">
    <w:name w:val="annotation reference"/>
    <w:basedOn w:val="Domylnaczcionkaakapitu"/>
    <w:uiPriority w:val="99"/>
    <w:semiHidden/>
    <w:unhideWhenUsed/>
    <w:rsid w:val="00CB2FB2"/>
    <w:rPr>
      <w:sz w:val="16"/>
      <w:szCs w:val="16"/>
    </w:rPr>
  </w:style>
  <w:style w:type="paragraph" w:styleId="Tekstkomentarza">
    <w:name w:val="annotation text"/>
    <w:basedOn w:val="Normalny"/>
    <w:link w:val="TekstkomentarzaZnak"/>
    <w:uiPriority w:val="99"/>
    <w:unhideWhenUsed/>
    <w:rsid w:val="00CB2FB2"/>
    <w:pPr>
      <w:spacing w:line="240" w:lineRule="auto"/>
    </w:pPr>
    <w:rPr>
      <w:sz w:val="20"/>
      <w:szCs w:val="20"/>
    </w:rPr>
  </w:style>
  <w:style w:type="character" w:customStyle="1" w:styleId="TekstkomentarzaZnak">
    <w:name w:val="Tekst komentarza Znak"/>
    <w:basedOn w:val="Domylnaczcionkaakapitu"/>
    <w:link w:val="Tekstkomentarza"/>
    <w:uiPriority w:val="99"/>
    <w:rsid w:val="00CB2FB2"/>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B2FB2"/>
    <w:rPr>
      <w:b/>
      <w:bCs/>
    </w:rPr>
  </w:style>
  <w:style w:type="character" w:customStyle="1" w:styleId="TematkomentarzaZnak">
    <w:name w:val="Temat komentarza Znak"/>
    <w:basedOn w:val="TekstkomentarzaZnak"/>
    <w:link w:val="Tematkomentarza"/>
    <w:uiPriority w:val="99"/>
    <w:semiHidden/>
    <w:rsid w:val="00CB2FB2"/>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CB2F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FB2"/>
    <w:rPr>
      <w:rFonts w:ascii="Segoe UI" w:eastAsia="Arial" w:hAnsi="Segoe UI" w:cs="Segoe UI"/>
      <w:sz w:val="18"/>
      <w:szCs w:val="18"/>
      <w:lang w:eastAsia="pl-PL"/>
    </w:rPr>
  </w:style>
  <w:style w:type="paragraph" w:styleId="Poprawka">
    <w:name w:val="Revision"/>
    <w:hidden/>
    <w:uiPriority w:val="99"/>
    <w:semiHidden/>
    <w:rsid w:val="005323BE"/>
    <w:pPr>
      <w:spacing w:after="0" w:line="240" w:lineRule="auto"/>
    </w:pPr>
    <w:rPr>
      <w:rFonts w:ascii="Arial" w:eastAsia="Arial" w:hAnsi="Arial" w:cs="Arial"/>
      <w:lang w:eastAsia="pl-PL"/>
    </w:rPr>
  </w:style>
  <w:style w:type="paragraph" w:styleId="Tekstprzypisukocowego">
    <w:name w:val="endnote text"/>
    <w:basedOn w:val="Normalny"/>
    <w:link w:val="TekstprzypisukocowegoZnak"/>
    <w:uiPriority w:val="99"/>
    <w:semiHidden/>
    <w:unhideWhenUsed/>
    <w:rsid w:val="00976C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C95"/>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976C95"/>
    <w:rPr>
      <w:vertAlign w:val="superscript"/>
    </w:rPr>
  </w:style>
  <w:style w:type="paragraph" w:styleId="Nagwek">
    <w:name w:val="header"/>
    <w:basedOn w:val="Normalny"/>
    <w:link w:val="NagwekZnak"/>
    <w:uiPriority w:val="99"/>
    <w:unhideWhenUsed/>
    <w:rsid w:val="00B77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D91"/>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B77D91"/>
    <w:rPr>
      <w:color w:val="605E5C"/>
      <w:shd w:val="clear" w:color="auto" w:fill="E1DFDD"/>
    </w:rPr>
  </w:style>
  <w:style w:type="character" w:customStyle="1" w:styleId="Nierozpoznanawzmianka2">
    <w:name w:val="Nierozpoznana wzmianka2"/>
    <w:basedOn w:val="Domylnaczcionkaakapitu"/>
    <w:uiPriority w:val="99"/>
    <w:semiHidden/>
    <w:unhideWhenUsed/>
    <w:rsid w:val="006B635B"/>
    <w:rPr>
      <w:color w:val="605E5C"/>
      <w:shd w:val="clear" w:color="auto" w:fill="E1DFDD"/>
    </w:rPr>
  </w:style>
  <w:style w:type="paragraph" w:customStyle="1" w:styleId="western">
    <w:name w:val="western"/>
    <w:basedOn w:val="Normalny"/>
    <w:rsid w:val="00FE3132"/>
    <w:pPr>
      <w:spacing w:before="100" w:beforeAutospacing="1" w:after="100" w:afterAutospacing="1" w:line="240" w:lineRule="auto"/>
    </w:pPr>
    <w:rPr>
      <w:rFonts w:ascii="Calibri" w:eastAsiaTheme="minorHAnsi" w:hAnsi="Calibri" w:cs="Calibri"/>
    </w:rPr>
  </w:style>
  <w:style w:type="character" w:styleId="Pogrubienie">
    <w:name w:val="Strong"/>
    <w:basedOn w:val="Domylnaczcionkaakapitu"/>
    <w:uiPriority w:val="22"/>
    <w:qFormat/>
    <w:rsid w:val="00FE3132"/>
    <w:rPr>
      <w:b/>
      <w:bCs/>
    </w:rPr>
  </w:style>
  <w:style w:type="character" w:customStyle="1" w:styleId="Nagwek1Znak">
    <w:name w:val="Nagłówek 1 Znak"/>
    <w:basedOn w:val="Domylnaczcionkaakapitu"/>
    <w:link w:val="Nagwek1"/>
    <w:uiPriority w:val="9"/>
    <w:rsid w:val="00FE3132"/>
    <w:rPr>
      <w:rFonts w:asciiTheme="majorHAnsi" w:eastAsiaTheme="majorEastAsia" w:hAnsiTheme="majorHAnsi" w:cstheme="majorBidi"/>
      <w:color w:val="2F5496" w:themeColor="accent1" w:themeShade="BF"/>
      <w:sz w:val="32"/>
      <w:szCs w:val="32"/>
      <w:lang w:eastAsia="pl-PL"/>
    </w:rPr>
  </w:style>
  <w:style w:type="character" w:styleId="Uwydatnienie">
    <w:name w:val="Emphasis"/>
    <w:basedOn w:val="Domylnaczcionkaakapitu"/>
    <w:uiPriority w:val="20"/>
    <w:qFormat/>
    <w:rsid w:val="00E909E6"/>
    <w:rPr>
      <w:i/>
      <w:iCs/>
    </w:rPr>
  </w:style>
  <w:style w:type="character" w:customStyle="1" w:styleId="cf01">
    <w:name w:val="cf01"/>
    <w:basedOn w:val="Domylnaczcionkaakapitu"/>
    <w:rsid w:val="00167436"/>
    <w:rPr>
      <w:rFonts w:ascii="Segoe UI" w:hAnsi="Segoe UI" w:cs="Segoe UI" w:hint="default"/>
      <w:sz w:val="18"/>
      <w:szCs w:val="18"/>
    </w:rPr>
  </w:style>
  <w:style w:type="character" w:customStyle="1" w:styleId="apple-converted-space">
    <w:name w:val="apple-converted-space"/>
    <w:basedOn w:val="Domylnaczcionkaakapitu"/>
    <w:rsid w:val="00775E16"/>
  </w:style>
  <w:style w:type="paragraph" w:styleId="Akapitzlist">
    <w:name w:val="List Paragraph"/>
    <w:basedOn w:val="Normalny"/>
    <w:uiPriority w:val="34"/>
    <w:qFormat/>
    <w:rsid w:val="00AF11EE"/>
    <w:pPr>
      <w:spacing w:after="0" w:line="240" w:lineRule="auto"/>
      <w:ind w:left="720"/>
    </w:pPr>
    <w:rPr>
      <w:rFonts w:ascii="Calibri" w:eastAsiaTheme="minorHAnsi" w:hAnsi="Calibri" w:cs="Calibri"/>
      <w:lang w:val="en-GB" w:eastAsia="en-GB"/>
      <w14:ligatures w14:val="standardContextual"/>
    </w:rPr>
  </w:style>
  <w:style w:type="paragraph" w:styleId="NormalnyWeb">
    <w:name w:val="Normal (Web)"/>
    <w:basedOn w:val="Normalny"/>
    <w:uiPriority w:val="99"/>
    <w:unhideWhenUsed/>
    <w:rsid w:val="00AF1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kstprzypisudolnego">
    <w:name w:val="footnote text"/>
    <w:basedOn w:val="Normalny"/>
    <w:link w:val="TekstprzypisudolnegoZnak"/>
    <w:uiPriority w:val="99"/>
    <w:semiHidden/>
    <w:unhideWhenUsed/>
    <w:rsid w:val="00AF11EE"/>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F11EE"/>
    <w:rPr>
      <w:sz w:val="20"/>
      <w:szCs w:val="20"/>
    </w:rPr>
  </w:style>
  <w:style w:type="character" w:styleId="Odwoanieprzypisudolnego">
    <w:name w:val="footnote reference"/>
    <w:basedOn w:val="Domylnaczcionkaakapitu"/>
    <w:uiPriority w:val="99"/>
    <w:semiHidden/>
    <w:unhideWhenUsed/>
    <w:rsid w:val="00AF11EE"/>
    <w:rPr>
      <w:vertAlign w:val="superscript"/>
    </w:rPr>
  </w:style>
  <w:style w:type="character" w:customStyle="1" w:styleId="normaltextrun">
    <w:name w:val="normaltextrun"/>
    <w:basedOn w:val="Domylnaczcionkaakapitu"/>
    <w:rsid w:val="00C0604F"/>
  </w:style>
  <w:style w:type="character" w:customStyle="1" w:styleId="eop">
    <w:name w:val="eop"/>
    <w:basedOn w:val="Domylnaczcionkaakapitu"/>
    <w:rsid w:val="00C0604F"/>
  </w:style>
  <w:style w:type="paragraph" w:customStyle="1" w:styleId="pf0">
    <w:name w:val="pf0"/>
    <w:basedOn w:val="Normalny"/>
    <w:rsid w:val="00A12BAB"/>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6C62BD"/>
    <w:rPr>
      <w:color w:val="605E5C"/>
      <w:shd w:val="clear" w:color="auto" w:fill="E1DFDD"/>
    </w:rPr>
  </w:style>
  <w:style w:type="character" w:styleId="UyteHipercze">
    <w:name w:val="FollowedHyperlink"/>
    <w:basedOn w:val="Domylnaczcionkaakapitu"/>
    <w:uiPriority w:val="99"/>
    <w:semiHidden/>
    <w:unhideWhenUsed/>
    <w:rsid w:val="00B70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282">
      <w:bodyDiv w:val="1"/>
      <w:marLeft w:val="0"/>
      <w:marRight w:val="0"/>
      <w:marTop w:val="0"/>
      <w:marBottom w:val="0"/>
      <w:divBdr>
        <w:top w:val="none" w:sz="0" w:space="0" w:color="auto"/>
        <w:left w:val="none" w:sz="0" w:space="0" w:color="auto"/>
        <w:bottom w:val="none" w:sz="0" w:space="0" w:color="auto"/>
        <w:right w:val="none" w:sz="0" w:space="0" w:color="auto"/>
      </w:divBdr>
    </w:div>
    <w:div w:id="141046173">
      <w:bodyDiv w:val="1"/>
      <w:marLeft w:val="0"/>
      <w:marRight w:val="0"/>
      <w:marTop w:val="0"/>
      <w:marBottom w:val="0"/>
      <w:divBdr>
        <w:top w:val="none" w:sz="0" w:space="0" w:color="auto"/>
        <w:left w:val="none" w:sz="0" w:space="0" w:color="auto"/>
        <w:bottom w:val="none" w:sz="0" w:space="0" w:color="auto"/>
        <w:right w:val="none" w:sz="0" w:space="0" w:color="auto"/>
      </w:divBdr>
    </w:div>
    <w:div w:id="142620705">
      <w:bodyDiv w:val="1"/>
      <w:marLeft w:val="0"/>
      <w:marRight w:val="0"/>
      <w:marTop w:val="0"/>
      <w:marBottom w:val="0"/>
      <w:divBdr>
        <w:top w:val="none" w:sz="0" w:space="0" w:color="auto"/>
        <w:left w:val="none" w:sz="0" w:space="0" w:color="auto"/>
        <w:bottom w:val="none" w:sz="0" w:space="0" w:color="auto"/>
        <w:right w:val="none" w:sz="0" w:space="0" w:color="auto"/>
      </w:divBdr>
    </w:div>
    <w:div w:id="145361696">
      <w:bodyDiv w:val="1"/>
      <w:marLeft w:val="0"/>
      <w:marRight w:val="0"/>
      <w:marTop w:val="0"/>
      <w:marBottom w:val="0"/>
      <w:divBdr>
        <w:top w:val="none" w:sz="0" w:space="0" w:color="auto"/>
        <w:left w:val="none" w:sz="0" w:space="0" w:color="auto"/>
        <w:bottom w:val="none" w:sz="0" w:space="0" w:color="auto"/>
        <w:right w:val="none" w:sz="0" w:space="0" w:color="auto"/>
      </w:divBdr>
    </w:div>
    <w:div w:id="151680783">
      <w:bodyDiv w:val="1"/>
      <w:marLeft w:val="0"/>
      <w:marRight w:val="0"/>
      <w:marTop w:val="0"/>
      <w:marBottom w:val="0"/>
      <w:divBdr>
        <w:top w:val="none" w:sz="0" w:space="0" w:color="auto"/>
        <w:left w:val="none" w:sz="0" w:space="0" w:color="auto"/>
        <w:bottom w:val="none" w:sz="0" w:space="0" w:color="auto"/>
        <w:right w:val="none" w:sz="0" w:space="0" w:color="auto"/>
      </w:divBdr>
      <w:divsChild>
        <w:div w:id="792941911">
          <w:marLeft w:val="0"/>
          <w:marRight w:val="0"/>
          <w:marTop w:val="0"/>
          <w:marBottom w:val="0"/>
          <w:divBdr>
            <w:top w:val="none" w:sz="0" w:space="0" w:color="auto"/>
            <w:left w:val="none" w:sz="0" w:space="0" w:color="auto"/>
            <w:bottom w:val="none" w:sz="0" w:space="0" w:color="auto"/>
            <w:right w:val="none" w:sz="0" w:space="0" w:color="auto"/>
          </w:divBdr>
          <w:divsChild>
            <w:div w:id="308903085">
              <w:marLeft w:val="0"/>
              <w:marRight w:val="0"/>
              <w:marTop w:val="0"/>
              <w:marBottom w:val="0"/>
              <w:divBdr>
                <w:top w:val="none" w:sz="0" w:space="0" w:color="auto"/>
                <w:left w:val="none" w:sz="0" w:space="0" w:color="auto"/>
                <w:bottom w:val="none" w:sz="0" w:space="0" w:color="auto"/>
                <w:right w:val="none" w:sz="0" w:space="0" w:color="auto"/>
              </w:divBdr>
              <w:divsChild>
                <w:div w:id="1441418176">
                  <w:marLeft w:val="0"/>
                  <w:marRight w:val="0"/>
                  <w:marTop w:val="0"/>
                  <w:marBottom w:val="0"/>
                  <w:divBdr>
                    <w:top w:val="none" w:sz="0" w:space="0" w:color="auto"/>
                    <w:left w:val="none" w:sz="0" w:space="0" w:color="auto"/>
                    <w:bottom w:val="none" w:sz="0" w:space="0" w:color="auto"/>
                    <w:right w:val="none" w:sz="0" w:space="0" w:color="auto"/>
                  </w:divBdr>
                  <w:divsChild>
                    <w:div w:id="9303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6072">
      <w:bodyDiv w:val="1"/>
      <w:marLeft w:val="0"/>
      <w:marRight w:val="0"/>
      <w:marTop w:val="0"/>
      <w:marBottom w:val="0"/>
      <w:divBdr>
        <w:top w:val="none" w:sz="0" w:space="0" w:color="auto"/>
        <w:left w:val="none" w:sz="0" w:space="0" w:color="auto"/>
        <w:bottom w:val="none" w:sz="0" w:space="0" w:color="auto"/>
        <w:right w:val="none" w:sz="0" w:space="0" w:color="auto"/>
      </w:divBdr>
      <w:divsChild>
        <w:div w:id="755788746">
          <w:marLeft w:val="0"/>
          <w:marRight w:val="0"/>
          <w:marTop w:val="0"/>
          <w:marBottom w:val="0"/>
          <w:divBdr>
            <w:top w:val="none" w:sz="0" w:space="0" w:color="auto"/>
            <w:left w:val="none" w:sz="0" w:space="0" w:color="auto"/>
            <w:bottom w:val="none" w:sz="0" w:space="0" w:color="auto"/>
            <w:right w:val="none" w:sz="0" w:space="0" w:color="auto"/>
          </w:divBdr>
        </w:div>
        <w:div w:id="1073967360">
          <w:marLeft w:val="0"/>
          <w:marRight w:val="0"/>
          <w:marTop w:val="0"/>
          <w:marBottom w:val="0"/>
          <w:divBdr>
            <w:top w:val="none" w:sz="0" w:space="0" w:color="auto"/>
            <w:left w:val="none" w:sz="0" w:space="0" w:color="auto"/>
            <w:bottom w:val="none" w:sz="0" w:space="0" w:color="auto"/>
            <w:right w:val="none" w:sz="0" w:space="0" w:color="auto"/>
          </w:divBdr>
        </w:div>
        <w:div w:id="1137063004">
          <w:marLeft w:val="0"/>
          <w:marRight w:val="0"/>
          <w:marTop w:val="0"/>
          <w:marBottom w:val="0"/>
          <w:divBdr>
            <w:top w:val="none" w:sz="0" w:space="0" w:color="auto"/>
            <w:left w:val="none" w:sz="0" w:space="0" w:color="auto"/>
            <w:bottom w:val="none" w:sz="0" w:space="0" w:color="auto"/>
            <w:right w:val="none" w:sz="0" w:space="0" w:color="auto"/>
          </w:divBdr>
        </w:div>
        <w:div w:id="1114714236">
          <w:marLeft w:val="0"/>
          <w:marRight w:val="0"/>
          <w:marTop w:val="0"/>
          <w:marBottom w:val="0"/>
          <w:divBdr>
            <w:top w:val="none" w:sz="0" w:space="0" w:color="auto"/>
            <w:left w:val="none" w:sz="0" w:space="0" w:color="auto"/>
            <w:bottom w:val="none" w:sz="0" w:space="0" w:color="auto"/>
            <w:right w:val="none" w:sz="0" w:space="0" w:color="auto"/>
          </w:divBdr>
        </w:div>
        <w:div w:id="331181576">
          <w:marLeft w:val="0"/>
          <w:marRight w:val="0"/>
          <w:marTop w:val="0"/>
          <w:marBottom w:val="0"/>
          <w:divBdr>
            <w:top w:val="none" w:sz="0" w:space="0" w:color="auto"/>
            <w:left w:val="none" w:sz="0" w:space="0" w:color="auto"/>
            <w:bottom w:val="none" w:sz="0" w:space="0" w:color="auto"/>
            <w:right w:val="none" w:sz="0" w:space="0" w:color="auto"/>
          </w:divBdr>
        </w:div>
        <w:div w:id="1396123479">
          <w:marLeft w:val="0"/>
          <w:marRight w:val="0"/>
          <w:marTop w:val="0"/>
          <w:marBottom w:val="0"/>
          <w:divBdr>
            <w:top w:val="none" w:sz="0" w:space="0" w:color="auto"/>
            <w:left w:val="none" w:sz="0" w:space="0" w:color="auto"/>
            <w:bottom w:val="none" w:sz="0" w:space="0" w:color="auto"/>
            <w:right w:val="none" w:sz="0" w:space="0" w:color="auto"/>
          </w:divBdr>
        </w:div>
        <w:div w:id="1164082577">
          <w:marLeft w:val="0"/>
          <w:marRight w:val="0"/>
          <w:marTop w:val="0"/>
          <w:marBottom w:val="0"/>
          <w:divBdr>
            <w:top w:val="none" w:sz="0" w:space="0" w:color="auto"/>
            <w:left w:val="none" w:sz="0" w:space="0" w:color="auto"/>
            <w:bottom w:val="none" w:sz="0" w:space="0" w:color="auto"/>
            <w:right w:val="none" w:sz="0" w:space="0" w:color="auto"/>
          </w:divBdr>
        </w:div>
        <w:div w:id="1425414656">
          <w:marLeft w:val="0"/>
          <w:marRight w:val="0"/>
          <w:marTop w:val="0"/>
          <w:marBottom w:val="0"/>
          <w:divBdr>
            <w:top w:val="none" w:sz="0" w:space="0" w:color="auto"/>
            <w:left w:val="none" w:sz="0" w:space="0" w:color="auto"/>
            <w:bottom w:val="none" w:sz="0" w:space="0" w:color="auto"/>
            <w:right w:val="none" w:sz="0" w:space="0" w:color="auto"/>
          </w:divBdr>
        </w:div>
        <w:div w:id="84814818">
          <w:marLeft w:val="0"/>
          <w:marRight w:val="0"/>
          <w:marTop w:val="0"/>
          <w:marBottom w:val="0"/>
          <w:divBdr>
            <w:top w:val="none" w:sz="0" w:space="0" w:color="auto"/>
            <w:left w:val="none" w:sz="0" w:space="0" w:color="auto"/>
            <w:bottom w:val="none" w:sz="0" w:space="0" w:color="auto"/>
            <w:right w:val="none" w:sz="0" w:space="0" w:color="auto"/>
          </w:divBdr>
        </w:div>
      </w:divsChild>
    </w:div>
    <w:div w:id="188296890">
      <w:bodyDiv w:val="1"/>
      <w:marLeft w:val="0"/>
      <w:marRight w:val="0"/>
      <w:marTop w:val="0"/>
      <w:marBottom w:val="0"/>
      <w:divBdr>
        <w:top w:val="none" w:sz="0" w:space="0" w:color="auto"/>
        <w:left w:val="none" w:sz="0" w:space="0" w:color="auto"/>
        <w:bottom w:val="none" w:sz="0" w:space="0" w:color="auto"/>
        <w:right w:val="none" w:sz="0" w:space="0" w:color="auto"/>
      </w:divBdr>
    </w:div>
    <w:div w:id="236403550">
      <w:bodyDiv w:val="1"/>
      <w:marLeft w:val="0"/>
      <w:marRight w:val="0"/>
      <w:marTop w:val="0"/>
      <w:marBottom w:val="0"/>
      <w:divBdr>
        <w:top w:val="none" w:sz="0" w:space="0" w:color="auto"/>
        <w:left w:val="none" w:sz="0" w:space="0" w:color="auto"/>
        <w:bottom w:val="none" w:sz="0" w:space="0" w:color="auto"/>
        <w:right w:val="none" w:sz="0" w:space="0" w:color="auto"/>
      </w:divBdr>
    </w:div>
    <w:div w:id="255024302">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9">
          <w:marLeft w:val="0"/>
          <w:marRight w:val="0"/>
          <w:marTop w:val="0"/>
          <w:marBottom w:val="0"/>
          <w:divBdr>
            <w:top w:val="none" w:sz="0" w:space="0" w:color="auto"/>
            <w:left w:val="none" w:sz="0" w:space="0" w:color="auto"/>
            <w:bottom w:val="none" w:sz="0" w:space="0" w:color="auto"/>
            <w:right w:val="none" w:sz="0" w:space="0" w:color="auto"/>
          </w:divBdr>
        </w:div>
        <w:div w:id="2103603476">
          <w:marLeft w:val="0"/>
          <w:marRight w:val="0"/>
          <w:marTop w:val="0"/>
          <w:marBottom w:val="0"/>
          <w:divBdr>
            <w:top w:val="none" w:sz="0" w:space="0" w:color="auto"/>
            <w:left w:val="none" w:sz="0" w:space="0" w:color="auto"/>
            <w:bottom w:val="none" w:sz="0" w:space="0" w:color="auto"/>
            <w:right w:val="none" w:sz="0" w:space="0" w:color="auto"/>
          </w:divBdr>
        </w:div>
        <w:div w:id="826358123">
          <w:marLeft w:val="0"/>
          <w:marRight w:val="0"/>
          <w:marTop w:val="0"/>
          <w:marBottom w:val="0"/>
          <w:divBdr>
            <w:top w:val="none" w:sz="0" w:space="0" w:color="auto"/>
            <w:left w:val="none" w:sz="0" w:space="0" w:color="auto"/>
            <w:bottom w:val="none" w:sz="0" w:space="0" w:color="auto"/>
            <w:right w:val="none" w:sz="0" w:space="0" w:color="auto"/>
          </w:divBdr>
        </w:div>
        <w:div w:id="1679893550">
          <w:marLeft w:val="0"/>
          <w:marRight w:val="0"/>
          <w:marTop w:val="0"/>
          <w:marBottom w:val="0"/>
          <w:divBdr>
            <w:top w:val="none" w:sz="0" w:space="0" w:color="auto"/>
            <w:left w:val="none" w:sz="0" w:space="0" w:color="auto"/>
            <w:bottom w:val="none" w:sz="0" w:space="0" w:color="auto"/>
            <w:right w:val="none" w:sz="0" w:space="0" w:color="auto"/>
          </w:divBdr>
        </w:div>
        <w:div w:id="2052068434">
          <w:marLeft w:val="0"/>
          <w:marRight w:val="0"/>
          <w:marTop w:val="0"/>
          <w:marBottom w:val="0"/>
          <w:divBdr>
            <w:top w:val="none" w:sz="0" w:space="0" w:color="auto"/>
            <w:left w:val="none" w:sz="0" w:space="0" w:color="auto"/>
            <w:bottom w:val="none" w:sz="0" w:space="0" w:color="auto"/>
            <w:right w:val="none" w:sz="0" w:space="0" w:color="auto"/>
          </w:divBdr>
        </w:div>
        <w:div w:id="651952266">
          <w:marLeft w:val="0"/>
          <w:marRight w:val="0"/>
          <w:marTop w:val="0"/>
          <w:marBottom w:val="0"/>
          <w:divBdr>
            <w:top w:val="none" w:sz="0" w:space="0" w:color="auto"/>
            <w:left w:val="none" w:sz="0" w:space="0" w:color="auto"/>
            <w:bottom w:val="none" w:sz="0" w:space="0" w:color="auto"/>
            <w:right w:val="none" w:sz="0" w:space="0" w:color="auto"/>
          </w:divBdr>
        </w:div>
        <w:div w:id="759523059">
          <w:marLeft w:val="0"/>
          <w:marRight w:val="0"/>
          <w:marTop w:val="0"/>
          <w:marBottom w:val="0"/>
          <w:divBdr>
            <w:top w:val="none" w:sz="0" w:space="0" w:color="auto"/>
            <w:left w:val="none" w:sz="0" w:space="0" w:color="auto"/>
            <w:bottom w:val="none" w:sz="0" w:space="0" w:color="auto"/>
            <w:right w:val="none" w:sz="0" w:space="0" w:color="auto"/>
          </w:divBdr>
        </w:div>
        <w:div w:id="371416844">
          <w:marLeft w:val="0"/>
          <w:marRight w:val="0"/>
          <w:marTop w:val="0"/>
          <w:marBottom w:val="0"/>
          <w:divBdr>
            <w:top w:val="none" w:sz="0" w:space="0" w:color="auto"/>
            <w:left w:val="none" w:sz="0" w:space="0" w:color="auto"/>
            <w:bottom w:val="none" w:sz="0" w:space="0" w:color="auto"/>
            <w:right w:val="none" w:sz="0" w:space="0" w:color="auto"/>
          </w:divBdr>
        </w:div>
        <w:div w:id="1854227538">
          <w:marLeft w:val="0"/>
          <w:marRight w:val="0"/>
          <w:marTop w:val="0"/>
          <w:marBottom w:val="0"/>
          <w:divBdr>
            <w:top w:val="none" w:sz="0" w:space="0" w:color="auto"/>
            <w:left w:val="none" w:sz="0" w:space="0" w:color="auto"/>
            <w:bottom w:val="none" w:sz="0" w:space="0" w:color="auto"/>
            <w:right w:val="none" w:sz="0" w:space="0" w:color="auto"/>
          </w:divBdr>
        </w:div>
        <w:div w:id="747192000">
          <w:marLeft w:val="0"/>
          <w:marRight w:val="0"/>
          <w:marTop w:val="0"/>
          <w:marBottom w:val="0"/>
          <w:divBdr>
            <w:top w:val="none" w:sz="0" w:space="0" w:color="auto"/>
            <w:left w:val="none" w:sz="0" w:space="0" w:color="auto"/>
            <w:bottom w:val="none" w:sz="0" w:space="0" w:color="auto"/>
            <w:right w:val="none" w:sz="0" w:space="0" w:color="auto"/>
          </w:divBdr>
        </w:div>
        <w:div w:id="1858496236">
          <w:marLeft w:val="0"/>
          <w:marRight w:val="0"/>
          <w:marTop w:val="0"/>
          <w:marBottom w:val="0"/>
          <w:divBdr>
            <w:top w:val="none" w:sz="0" w:space="0" w:color="auto"/>
            <w:left w:val="none" w:sz="0" w:space="0" w:color="auto"/>
            <w:bottom w:val="none" w:sz="0" w:space="0" w:color="auto"/>
            <w:right w:val="none" w:sz="0" w:space="0" w:color="auto"/>
          </w:divBdr>
        </w:div>
      </w:divsChild>
    </w:div>
    <w:div w:id="343946525">
      <w:bodyDiv w:val="1"/>
      <w:marLeft w:val="0"/>
      <w:marRight w:val="0"/>
      <w:marTop w:val="0"/>
      <w:marBottom w:val="0"/>
      <w:divBdr>
        <w:top w:val="none" w:sz="0" w:space="0" w:color="auto"/>
        <w:left w:val="none" w:sz="0" w:space="0" w:color="auto"/>
        <w:bottom w:val="none" w:sz="0" w:space="0" w:color="auto"/>
        <w:right w:val="none" w:sz="0" w:space="0" w:color="auto"/>
      </w:divBdr>
    </w:div>
    <w:div w:id="436870886">
      <w:bodyDiv w:val="1"/>
      <w:marLeft w:val="0"/>
      <w:marRight w:val="0"/>
      <w:marTop w:val="0"/>
      <w:marBottom w:val="0"/>
      <w:divBdr>
        <w:top w:val="none" w:sz="0" w:space="0" w:color="auto"/>
        <w:left w:val="none" w:sz="0" w:space="0" w:color="auto"/>
        <w:bottom w:val="none" w:sz="0" w:space="0" w:color="auto"/>
        <w:right w:val="none" w:sz="0" w:space="0" w:color="auto"/>
      </w:divBdr>
      <w:divsChild>
        <w:div w:id="1116558886">
          <w:marLeft w:val="0"/>
          <w:marRight w:val="0"/>
          <w:marTop w:val="0"/>
          <w:marBottom w:val="0"/>
          <w:divBdr>
            <w:top w:val="none" w:sz="0" w:space="0" w:color="auto"/>
            <w:left w:val="none" w:sz="0" w:space="0" w:color="auto"/>
            <w:bottom w:val="none" w:sz="0" w:space="0" w:color="auto"/>
            <w:right w:val="none" w:sz="0" w:space="0" w:color="auto"/>
          </w:divBdr>
        </w:div>
        <w:div w:id="430005519">
          <w:marLeft w:val="0"/>
          <w:marRight w:val="0"/>
          <w:marTop w:val="0"/>
          <w:marBottom w:val="0"/>
          <w:divBdr>
            <w:top w:val="none" w:sz="0" w:space="0" w:color="auto"/>
            <w:left w:val="none" w:sz="0" w:space="0" w:color="auto"/>
            <w:bottom w:val="none" w:sz="0" w:space="0" w:color="auto"/>
            <w:right w:val="none" w:sz="0" w:space="0" w:color="auto"/>
          </w:divBdr>
        </w:div>
        <w:div w:id="891774030">
          <w:marLeft w:val="0"/>
          <w:marRight w:val="0"/>
          <w:marTop w:val="0"/>
          <w:marBottom w:val="0"/>
          <w:divBdr>
            <w:top w:val="none" w:sz="0" w:space="0" w:color="auto"/>
            <w:left w:val="none" w:sz="0" w:space="0" w:color="auto"/>
            <w:bottom w:val="none" w:sz="0" w:space="0" w:color="auto"/>
            <w:right w:val="none" w:sz="0" w:space="0" w:color="auto"/>
          </w:divBdr>
        </w:div>
        <w:div w:id="881552592">
          <w:marLeft w:val="0"/>
          <w:marRight w:val="0"/>
          <w:marTop w:val="0"/>
          <w:marBottom w:val="0"/>
          <w:divBdr>
            <w:top w:val="none" w:sz="0" w:space="0" w:color="auto"/>
            <w:left w:val="none" w:sz="0" w:space="0" w:color="auto"/>
            <w:bottom w:val="none" w:sz="0" w:space="0" w:color="auto"/>
            <w:right w:val="none" w:sz="0" w:space="0" w:color="auto"/>
          </w:divBdr>
        </w:div>
        <w:div w:id="114951402">
          <w:marLeft w:val="0"/>
          <w:marRight w:val="0"/>
          <w:marTop w:val="0"/>
          <w:marBottom w:val="0"/>
          <w:divBdr>
            <w:top w:val="none" w:sz="0" w:space="0" w:color="auto"/>
            <w:left w:val="none" w:sz="0" w:space="0" w:color="auto"/>
            <w:bottom w:val="none" w:sz="0" w:space="0" w:color="auto"/>
            <w:right w:val="none" w:sz="0" w:space="0" w:color="auto"/>
          </w:divBdr>
        </w:div>
        <w:div w:id="237332112">
          <w:marLeft w:val="0"/>
          <w:marRight w:val="0"/>
          <w:marTop w:val="0"/>
          <w:marBottom w:val="0"/>
          <w:divBdr>
            <w:top w:val="none" w:sz="0" w:space="0" w:color="auto"/>
            <w:left w:val="none" w:sz="0" w:space="0" w:color="auto"/>
            <w:bottom w:val="none" w:sz="0" w:space="0" w:color="auto"/>
            <w:right w:val="none" w:sz="0" w:space="0" w:color="auto"/>
          </w:divBdr>
        </w:div>
        <w:div w:id="1196507372">
          <w:marLeft w:val="0"/>
          <w:marRight w:val="0"/>
          <w:marTop w:val="0"/>
          <w:marBottom w:val="0"/>
          <w:divBdr>
            <w:top w:val="none" w:sz="0" w:space="0" w:color="auto"/>
            <w:left w:val="none" w:sz="0" w:space="0" w:color="auto"/>
            <w:bottom w:val="none" w:sz="0" w:space="0" w:color="auto"/>
            <w:right w:val="none" w:sz="0" w:space="0" w:color="auto"/>
          </w:divBdr>
        </w:div>
        <w:div w:id="1053886621">
          <w:marLeft w:val="0"/>
          <w:marRight w:val="0"/>
          <w:marTop w:val="0"/>
          <w:marBottom w:val="0"/>
          <w:divBdr>
            <w:top w:val="none" w:sz="0" w:space="0" w:color="auto"/>
            <w:left w:val="none" w:sz="0" w:space="0" w:color="auto"/>
            <w:bottom w:val="none" w:sz="0" w:space="0" w:color="auto"/>
            <w:right w:val="none" w:sz="0" w:space="0" w:color="auto"/>
          </w:divBdr>
        </w:div>
        <w:div w:id="1883977646">
          <w:marLeft w:val="0"/>
          <w:marRight w:val="0"/>
          <w:marTop w:val="0"/>
          <w:marBottom w:val="0"/>
          <w:divBdr>
            <w:top w:val="none" w:sz="0" w:space="0" w:color="auto"/>
            <w:left w:val="none" w:sz="0" w:space="0" w:color="auto"/>
            <w:bottom w:val="none" w:sz="0" w:space="0" w:color="auto"/>
            <w:right w:val="none" w:sz="0" w:space="0" w:color="auto"/>
          </w:divBdr>
        </w:div>
      </w:divsChild>
    </w:div>
    <w:div w:id="457918216">
      <w:bodyDiv w:val="1"/>
      <w:marLeft w:val="0"/>
      <w:marRight w:val="0"/>
      <w:marTop w:val="0"/>
      <w:marBottom w:val="0"/>
      <w:divBdr>
        <w:top w:val="none" w:sz="0" w:space="0" w:color="auto"/>
        <w:left w:val="none" w:sz="0" w:space="0" w:color="auto"/>
        <w:bottom w:val="none" w:sz="0" w:space="0" w:color="auto"/>
        <w:right w:val="none" w:sz="0" w:space="0" w:color="auto"/>
      </w:divBdr>
    </w:div>
    <w:div w:id="467286758">
      <w:bodyDiv w:val="1"/>
      <w:marLeft w:val="0"/>
      <w:marRight w:val="0"/>
      <w:marTop w:val="0"/>
      <w:marBottom w:val="0"/>
      <w:divBdr>
        <w:top w:val="none" w:sz="0" w:space="0" w:color="auto"/>
        <w:left w:val="none" w:sz="0" w:space="0" w:color="auto"/>
        <w:bottom w:val="none" w:sz="0" w:space="0" w:color="auto"/>
        <w:right w:val="none" w:sz="0" w:space="0" w:color="auto"/>
      </w:divBdr>
    </w:div>
    <w:div w:id="485362448">
      <w:bodyDiv w:val="1"/>
      <w:marLeft w:val="0"/>
      <w:marRight w:val="0"/>
      <w:marTop w:val="0"/>
      <w:marBottom w:val="0"/>
      <w:divBdr>
        <w:top w:val="none" w:sz="0" w:space="0" w:color="auto"/>
        <w:left w:val="none" w:sz="0" w:space="0" w:color="auto"/>
        <w:bottom w:val="none" w:sz="0" w:space="0" w:color="auto"/>
        <w:right w:val="none" w:sz="0" w:space="0" w:color="auto"/>
      </w:divBdr>
    </w:div>
    <w:div w:id="531765155">
      <w:bodyDiv w:val="1"/>
      <w:marLeft w:val="0"/>
      <w:marRight w:val="0"/>
      <w:marTop w:val="0"/>
      <w:marBottom w:val="0"/>
      <w:divBdr>
        <w:top w:val="none" w:sz="0" w:space="0" w:color="auto"/>
        <w:left w:val="none" w:sz="0" w:space="0" w:color="auto"/>
        <w:bottom w:val="none" w:sz="0" w:space="0" w:color="auto"/>
        <w:right w:val="none" w:sz="0" w:space="0" w:color="auto"/>
      </w:divBdr>
    </w:div>
    <w:div w:id="570240931">
      <w:bodyDiv w:val="1"/>
      <w:marLeft w:val="0"/>
      <w:marRight w:val="0"/>
      <w:marTop w:val="0"/>
      <w:marBottom w:val="0"/>
      <w:divBdr>
        <w:top w:val="none" w:sz="0" w:space="0" w:color="auto"/>
        <w:left w:val="none" w:sz="0" w:space="0" w:color="auto"/>
        <w:bottom w:val="none" w:sz="0" w:space="0" w:color="auto"/>
        <w:right w:val="none" w:sz="0" w:space="0" w:color="auto"/>
      </w:divBdr>
    </w:div>
    <w:div w:id="596065744">
      <w:bodyDiv w:val="1"/>
      <w:marLeft w:val="0"/>
      <w:marRight w:val="0"/>
      <w:marTop w:val="0"/>
      <w:marBottom w:val="0"/>
      <w:divBdr>
        <w:top w:val="none" w:sz="0" w:space="0" w:color="auto"/>
        <w:left w:val="none" w:sz="0" w:space="0" w:color="auto"/>
        <w:bottom w:val="none" w:sz="0" w:space="0" w:color="auto"/>
        <w:right w:val="none" w:sz="0" w:space="0" w:color="auto"/>
      </w:divBdr>
    </w:div>
    <w:div w:id="667099267">
      <w:bodyDiv w:val="1"/>
      <w:marLeft w:val="0"/>
      <w:marRight w:val="0"/>
      <w:marTop w:val="0"/>
      <w:marBottom w:val="0"/>
      <w:divBdr>
        <w:top w:val="none" w:sz="0" w:space="0" w:color="auto"/>
        <w:left w:val="none" w:sz="0" w:space="0" w:color="auto"/>
        <w:bottom w:val="none" w:sz="0" w:space="0" w:color="auto"/>
        <w:right w:val="none" w:sz="0" w:space="0" w:color="auto"/>
      </w:divBdr>
      <w:divsChild>
        <w:div w:id="1438718137">
          <w:marLeft w:val="0"/>
          <w:marRight w:val="0"/>
          <w:marTop w:val="0"/>
          <w:marBottom w:val="0"/>
          <w:divBdr>
            <w:top w:val="none" w:sz="0" w:space="0" w:color="auto"/>
            <w:left w:val="none" w:sz="0" w:space="0" w:color="auto"/>
            <w:bottom w:val="none" w:sz="0" w:space="0" w:color="auto"/>
            <w:right w:val="none" w:sz="0" w:space="0" w:color="auto"/>
          </w:divBdr>
        </w:div>
        <w:div w:id="126824854">
          <w:marLeft w:val="0"/>
          <w:marRight w:val="0"/>
          <w:marTop w:val="0"/>
          <w:marBottom w:val="0"/>
          <w:divBdr>
            <w:top w:val="none" w:sz="0" w:space="0" w:color="auto"/>
            <w:left w:val="none" w:sz="0" w:space="0" w:color="auto"/>
            <w:bottom w:val="none" w:sz="0" w:space="0" w:color="auto"/>
            <w:right w:val="none" w:sz="0" w:space="0" w:color="auto"/>
          </w:divBdr>
        </w:div>
        <w:div w:id="1591542873">
          <w:marLeft w:val="0"/>
          <w:marRight w:val="0"/>
          <w:marTop w:val="0"/>
          <w:marBottom w:val="0"/>
          <w:divBdr>
            <w:top w:val="none" w:sz="0" w:space="0" w:color="auto"/>
            <w:left w:val="none" w:sz="0" w:space="0" w:color="auto"/>
            <w:bottom w:val="none" w:sz="0" w:space="0" w:color="auto"/>
            <w:right w:val="none" w:sz="0" w:space="0" w:color="auto"/>
          </w:divBdr>
        </w:div>
        <w:div w:id="1594826586">
          <w:marLeft w:val="0"/>
          <w:marRight w:val="0"/>
          <w:marTop w:val="0"/>
          <w:marBottom w:val="0"/>
          <w:divBdr>
            <w:top w:val="none" w:sz="0" w:space="0" w:color="auto"/>
            <w:left w:val="none" w:sz="0" w:space="0" w:color="auto"/>
            <w:bottom w:val="none" w:sz="0" w:space="0" w:color="auto"/>
            <w:right w:val="none" w:sz="0" w:space="0" w:color="auto"/>
          </w:divBdr>
        </w:div>
        <w:div w:id="1385064249">
          <w:marLeft w:val="0"/>
          <w:marRight w:val="0"/>
          <w:marTop w:val="0"/>
          <w:marBottom w:val="0"/>
          <w:divBdr>
            <w:top w:val="none" w:sz="0" w:space="0" w:color="auto"/>
            <w:left w:val="none" w:sz="0" w:space="0" w:color="auto"/>
            <w:bottom w:val="none" w:sz="0" w:space="0" w:color="auto"/>
            <w:right w:val="none" w:sz="0" w:space="0" w:color="auto"/>
          </w:divBdr>
        </w:div>
        <w:div w:id="209847191">
          <w:marLeft w:val="0"/>
          <w:marRight w:val="0"/>
          <w:marTop w:val="0"/>
          <w:marBottom w:val="0"/>
          <w:divBdr>
            <w:top w:val="none" w:sz="0" w:space="0" w:color="auto"/>
            <w:left w:val="none" w:sz="0" w:space="0" w:color="auto"/>
            <w:bottom w:val="none" w:sz="0" w:space="0" w:color="auto"/>
            <w:right w:val="none" w:sz="0" w:space="0" w:color="auto"/>
          </w:divBdr>
        </w:div>
        <w:div w:id="1369600697">
          <w:marLeft w:val="0"/>
          <w:marRight w:val="0"/>
          <w:marTop w:val="0"/>
          <w:marBottom w:val="0"/>
          <w:divBdr>
            <w:top w:val="none" w:sz="0" w:space="0" w:color="auto"/>
            <w:left w:val="none" w:sz="0" w:space="0" w:color="auto"/>
            <w:bottom w:val="none" w:sz="0" w:space="0" w:color="auto"/>
            <w:right w:val="none" w:sz="0" w:space="0" w:color="auto"/>
          </w:divBdr>
        </w:div>
        <w:div w:id="1479371788">
          <w:marLeft w:val="0"/>
          <w:marRight w:val="0"/>
          <w:marTop w:val="0"/>
          <w:marBottom w:val="0"/>
          <w:divBdr>
            <w:top w:val="none" w:sz="0" w:space="0" w:color="auto"/>
            <w:left w:val="none" w:sz="0" w:space="0" w:color="auto"/>
            <w:bottom w:val="none" w:sz="0" w:space="0" w:color="auto"/>
            <w:right w:val="none" w:sz="0" w:space="0" w:color="auto"/>
          </w:divBdr>
        </w:div>
        <w:div w:id="713311183">
          <w:marLeft w:val="0"/>
          <w:marRight w:val="0"/>
          <w:marTop w:val="0"/>
          <w:marBottom w:val="0"/>
          <w:divBdr>
            <w:top w:val="none" w:sz="0" w:space="0" w:color="auto"/>
            <w:left w:val="none" w:sz="0" w:space="0" w:color="auto"/>
            <w:bottom w:val="none" w:sz="0" w:space="0" w:color="auto"/>
            <w:right w:val="none" w:sz="0" w:space="0" w:color="auto"/>
          </w:divBdr>
        </w:div>
        <w:div w:id="185560459">
          <w:marLeft w:val="0"/>
          <w:marRight w:val="0"/>
          <w:marTop w:val="0"/>
          <w:marBottom w:val="0"/>
          <w:divBdr>
            <w:top w:val="none" w:sz="0" w:space="0" w:color="auto"/>
            <w:left w:val="none" w:sz="0" w:space="0" w:color="auto"/>
            <w:bottom w:val="none" w:sz="0" w:space="0" w:color="auto"/>
            <w:right w:val="none" w:sz="0" w:space="0" w:color="auto"/>
          </w:divBdr>
        </w:div>
      </w:divsChild>
    </w:div>
    <w:div w:id="690228541">
      <w:bodyDiv w:val="1"/>
      <w:marLeft w:val="0"/>
      <w:marRight w:val="0"/>
      <w:marTop w:val="0"/>
      <w:marBottom w:val="0"/>
      <w:divBdr>
        <w:top w:val="none" w:sz="0" w:space="0" w:color="auto"/>
        <w:left w:val="none" w:sz="0" w:space="0" w:color="auto"/>
        <w:bottom w:val="none" w:sz="0" w:space="0" w:color="auto"/>
        <w:right w:val="none" w:sz="0" w:space="0" w:color="auto"/>
      </w:divBdr>
    </w:div>
    <w:div w:id="724794755">
      <w:bodyDiv w:val="1"/>
      <w:marLeft w:val="0"/>
      <w:marRight w:val="0"/>
      <w:marTop w:val="0"/>
      <w:marBottom w:val="0"/>
      <w:divBdr>
        <w:top w:val="none" w:sz="0" w:space="0" w:color="auto"/>
        <w:left w:val="none" w:sz="0" w:space="0" w:color="auto"/>
        <w:bottom w:val="none" w:sz="0" w:space="0" w:color="auto"/>
        <w:right w:val="none" w:sz="0" w:space="0" w:color="auto"/>
      </w:divBdr>
    </w:div>
    <w:div w:id="800079891">
      <w:bodyDiv w:val="1"/>
      <w:marLeft w:val="0"/>
      <w:marRight w:val="0"/>
      <w:marTop w:val="0"/>
      <w:marBottom w:val="0"/>
      <w:divBdr>
        <w:top w:val="none" w:sz="0" w:space="0" w:color="auto"/>
        <w:left w:val="none" w:sz="0" w:space="0" w:color="auto"/>
        <w:bottom w:val="none" w:sz="0" w:space="0" w:color="auto"/>
        <w:right w:val="none" w:sz="0" w:space="0" w:color="auto"/>
      </w:divBdr>
    </w:div>
    <w:div w:id="854810316">
      <w:bodyDiv w:val="1"/>
      <w:marLeft w:val="0"/>
      <w:marRight w:val="0"/>
      <w:marTop w:val="0"/>
      <w:marBottom w:val="0"/>
      <w:divBdr>
        <w:top w:val="none" w:sz="0" w:space="0" w:color="auto"/>
        <w:left w:val="none" w:sz="0" w:space="0" w:color="auto"/>
        <w:bottom w:val="none" w:sz="0" w:space="0" w:color="auto"/>
        <w:right w:val="none" w:sz="0" w:space="0" w:color="auto"/>
      </w:divBdr>
    </w:div>
    <w:div w:id="892035148">
      <w:bodyDiv w:val="1"/>
      <w:marLeft w:val="0"/>
      <w:marRight w:val="0"/>
      <w:marTop w:val="0"/>
      <w:marBottom w:val="0"/>
      <w:divBdr>
        <w:top w:val="none" w:sz="0" w:space="0" w:color="auto"/>
        <w:left w:val="none" w:sz="0" w:space="0" w:color="auto"/>
        <w:bottom w:val="none" w:sz="0" w:space="0" w:color="auto"/>
        <w:right w:val="none" w:sz="0" w:space="0" w:color="auto"/>
      </w:divBdr>
      <w:divsChild>
        <w:div w:id="1464544938">
          <w:marLeft w:val="0"/>
          <w:marRight w:val="0"/>
          <w:marTop w:val="0"/>
          <w:marBottom w:val="0"/>
          <w:divBdr>
            <w:top w:val="none" w:sz="0" w:space="0" w:color="auto"/>
            <w:left w:val="none" w:sz="0" w:space="0" w:color="auto"/>
            <w:bottom w:val="none" w:sz="0" w:space="0" w:color="auto"/>
            <w:right w:val="none" w:sz="0" w:space="0" w:color="auto"/>
          </w:divBdr>
        </w:div>
        <w:div w:id="1310549961">
          <w:marLeft w:val="0"/>
          <w:marRight w:val="0"/>
          <w:marTop w:val="0"/>
          <w:marBottom w:val="0"/>
          <w:divBdr>
            <w:top w:val="none" w:sz="0" w:space="0" w:color="auto"/>
            <w:left w:val="none" w:sz="0" w:space="0" w:color="auto"/>
            <w:bottom w:val="none" w:sz="0" w:space="0" w:color="auto"/>
            <w:right w:val="none" w:sz="0" w:space="0" w:color="auto"/>
          </w:divBdr>
        </w:div>
        <w:div w:id="1064134428">
          <w:marLeft w:val="0"/>
          <w:marRight w:val="0"/>
          <w:marTop w:val="0"/>
          <w:marBottom w:val="0"/>
          <w:divBdr>
            <w:top w:val="none" w:sz="0" w:space="0" w:color="auto"/>
            <w:left w:val="none" w:sz="0" w:space="0" w:color="auto"/>
            <w:bottom w:val="none" w:sz="0" w:space="0" w:color="auto"/>
            <w:right w:val="none" w:sz="0" w:space="0" w:color="auto"/>
          </w:divBdr>
        </w:div>
        <w:div w:id="828667904">
          <w:marLeft w:val="0"/>
          <w:marRight w:val="0"/>
          <w:marTop w:val="0"/>
          <w:marBottom w:val="0"/>
          <w:divBdr>
            <w:top w:val="none" w:sz="0" w:space="0" w:color="auto"/>
            <w:left w:val="none" w:sz="0" w:space="0" w:color="auto"/>
            <w:bottom w:val="none" w:sz="0" w:space="0" w:color="auto"/>
            <w:right w:val="none" w:sz="0" w:space="0" w:color="auto"/>
          </w:divBdr>
        </w:div>
        <w:div w:id="1256015407">
          <w:marLeft w:val="0"/>
          <w:marRight w:val="0"/>
          <w:marTop w:val="0"/>
          <w:marBottom w:val="0"/>
          <w:divBdr>
            <w:top w:val="none" w:sz="0" w:space="0" w:color="auto"/>
            <w:left w:val="none" w:sz="0" w:space="0" w:color="auto"/>
            <w:bottom w:val="none" w:sz="0" w:space="0" w:color="auto"/>
            <w:right w:val="none" w:sz="0" w:space="0" w:color="auto"/>
          </w:divBdr>
        </w:div>
        <w:div w:id="268584298">
          <w:marLeft w:val="0"/>
          <w:marRight w:val="0"/>
          <w:marTop w:val="0"/>
          <w:marBottom w:val="0"/>
          <w:divBdr>
            <w:top w:val="none" w:sz="0" w:space="0" w:color="auto"/>
            <w:left w:val="none" w:sz="0" w:space="0" w:color="auto"/>
            <w:bottom w:val="none" w:sz="0" w:space="0" w:color="auto"/>
            <w:right w:val="none" w:sz="0" w:space="0" w:color="auto"/>
          </w:divBdr>
        </w:div>
        <w:div w:id="130633070">
          <w:marLeft w:val="0"/>
          <w:marRight w:val="0"/>
          <w:marTop w:val="0"/>
          <w:marBottom w:val="0"/>
          <w:divBdr>
            <w:top w:val="none" w:sz="0" w:space="0" w:color="auto"/>
            <w:left w:val="none" w:sz="0" w:space="0" w:color="auto"/>
            <w:bottom w:val="none" w:sz="0" w:space="0" w:color="auto"/>
            <w:right w:val="none" w:sz="0" w:space="0" w:color="auto"/>
          </w:divBdr>
        </w:div>
        <w:div w:id="582449698">
          <w:marLeft w:val="0"/>
          <w:marRight w:val="0"/>
          <w:marTop w:val="0"/>
          <w:marBottom w:val="0"/>
          <w:divBdr>
            <w:top w:val="none" w:sz="0" w:space="0" w:color="auto"/>
            <w:left w:val="none" w:sz="0" w:space="0" w:color="auto"/>
            <w:bottom w:val="none" w:sz="0" w:space="0" w:color="auto"/>
            <w:right w:val="none" w:sz="0" w:space="0" w:color="auto"/>
          </w:divBdr>
        </w:div>
        <w:div w:id="454521399">
          <w:marLeft w:val="0"/>
          <w:marRight w:val="0"/>
          <w:marTop w:val="0"/>
          <w:marBottom w:val="0"/>
          <w:divBdr>
            <w:top w:val="none" w:sz="0" w:space="0" w:color="auto"/>
            <w:left w:val="none" w:sz="0" w:space="0" w:color="auto"/>
            <w:bottom w:val="none" w:sz="0" w:space="0" w:color="auto"/>
            <w:right w:val="none" w:sz="0" w:space="0" w:color="auto"/>
          </w:divBdr>
        </w:div>
        <w:div w:id="1626960682">
          <w:marLeft w:val="0"/>
          <w:marRight w:val="0"/>
          <w:marTop w:val="0"/>
          <w:marBottom w:val="0"/>
          <w:divBdr>
            <w:top w:val="none" w:sz="0" w:space="0" w:color="auto"/>
            <w:left w:val="none" w:sz="0" w:space="0" w:color="auto"/>
            <w:bottom w:val="none" w:sz="0" w:space="0" w:color="auto"/>
            <w:right w:val="none" w:sz="0" w:space="0" w:color="auto"/>
          </w:divBdr>
        </w:div>
        <w:div w:id="1210721621">
          <w:marLeft w:val="0"/>
          <w:marRight w:val="0"/>
          <w:marTop w:val="0"/>
          <w:marBottom w:val="0"/>
          <w:divBdr>
            <w:top w:val="none" w:sz="0" w:space="0" w:color="auto"/>
            <w:left w:val="none" w:sz="0" w:space="0" w:color="auto"/>
            <w:bottom w:val="none" w:sz="0" w:space="0" w:color="auto"/>
            <w:right w:val="none" w:sz="0" w:space="0" w:color="auto"/>
          </w:divBdr>
        </w:div>
      </w:divsChild>
    </w:div>
    <w:div w:id="978025764">
      <w:bodyDiv w:val="1"/>
      <w:marLeft w:val="0"/>
      <w:marRight w:val="0"/>
      <w:marTop w:val="0"/>
      <w:marBottom w:val="0"/>
      <w:divBdr>
        <w:top w:val="none" w:sz="0" w:space="0" w:color="auto"/>
        <w:left w:val="none" w:sz="0" w:space="0" w:color="auto"/>
        <w:bottom w:val="none" w:sz="0" w:space="0" w:color="auto"/>
        <w:right w:val="none" w:sz="0" w:space="0" w:color="auto"/>
      </w:divBdr>
    </w:div>
    <w:div w:id="1115178985">
      <w:bodyDiv w:val="1"/>
      <w:marLeft w:val="0"/>
      <w:marRight w:val="0"/>
      <w:marTop w:val="0"/>
      <w:marBottom w:val="0"/>
      <w:divBdr>
        <w:top w:val="none" w:sz="0" w:space="0" w:color="auto"/>
        <w:left w:val="none" w:sz="0" w:space="0" w:color="auto"/>
        <w:bottom w:val="none" w:sz="0" w:space="0" w:color="auto"/>
        <w:right w:val="none" w:sz="0" w:space="0" w:color="auto"/>
      </w:divBdr>
    </w:div>
    <w:div w:id="1208226050">
      <w:bodyDiv w:val="1"/>
      <w:marLeft w:val="0"/>
      <w:marRight w:val="0"/>
      <w:marTop w:val="0"/>
      <w:marBottom w:val="0"/>
      <w:divBdr>
        <w:top w:val="none" w:sz="0" w:space="0" w:color="auto"/>
        <w:left w:val="none" w:sz="0" w:space="0" w:color="auto"/>
        <w:bottom w:val="none" w:sz="0" w:space="0" w:color="auto"/>
        <w:right w:val="none" w:sz="0" w:space="0" w:color="auto"/>
      </w:divBdr>
    </w:div>
    <w:div w:id="1237283063">
      <w:bodyDiv w:val="1"/>
      <w:marLeft w:val="0"/>
      <w:marRight w:val="0"/>
      <w:marTop w:val="0"/>
      <w:marBottom w:val="0"/>
      <w:divBdr>
        <w:top w:val="none" w:sz="0" w:space="0" w:color="auto"/>
        <w:left w:val="none" w:sz="0" w:space="0" w:color="auto"/>
        <w:bottom w:val="none" w:sz="0" w:space="0" w:color="auto"/>
        <w:right w:val="none" w:sz="0" w:space="0" w:color="auto"/>
      </w:divBdr>
    </w:div>
    <w:div w:id="1364021292">
      <w:bodyDiv w:val="1"/>
      <w:marLeft w:val="0"/>
      <w:marRight w:val="0"/>
      <w:marTop w:val="0"/>
      <w:marBottom w:val="0"/>
      <w:divBdr>
        <w:top w:val="none" w:sz="0" w:space="0" w:color="auto"/>
        <w:left w:val="none" w:sz="0" w:space="0" w:color="auto"/>
        <w:bottom w:val="none" w:sz="0" w:space="0" w:color="auto"/>
        <w:right w:val="none" w:sz="0" w:space="0" w:color="auto"/>
      </w:divBdr>
    </w:div>
    <w:div w:id="1379747271">
      <w:bodyDiv w:val="1"/>
      <w:marLeft w:val="0"/>
      <w:marRight w:val="0"/>
      <w:marTop w:val="0"/>
      <w:marBottom w:val="0"/>
      <w:divBdr>
        <w:top w:val="none" w:sz="0" w:space="0" w:color="auto"/>
        <w:left w:val="none" w:sz="0" w:space="0" w:color="auto"/>
        <w:bottom w:val="none" w:sz="0" w:space="0" w:color="auto"/>
        <w:right w:val="none" w:sz="0" w:space="0" w:color="auto"/>
      </w:divBdr>
    </w:div>
    <w:div w:id="1437096500">
      <w:bodyDiv w:val="1"/>
      <w:marLeft w:val="0"/>
      <w:marRight w:val="0"/>
      <w:marTop w:val="0"/>
      <w:marBottom w:val="0"/>
      <w:divBdr>
        <w:top w:val="none" w:sz="0" w:space="0" w:color="auto"/>
        <w:left w:val="none" w:sz="0" w:space="0" w:color="auto"/>
        <w:bottom w:val="none" w:sz="0" w:space="0" w:color="auto"/>
        <w:right w:val="none" w:sz="0" w:space="0" w:color="auto"/>
      </w:divBdr>
    </w:div>
    <w:div w:id="1535654787">
      <w:bodyDiv w:val="1"/>
      <w:marLeft w:val="0"/>
      <w:marRight w:val="0"/>
      <w:marTop w:val="0"/>
      <w:marBottom w:val="0"/>
      <w:divBdr>
        <w:top w:val="none" w:sz="0" w:space="0" w:color="auto"/>
        <w:left w:val="none" w:sz="0" w:space="0" w:color="auto"/>
        <w:bottom w:val="none" w:sz="0" w:space="0" w:color="auto"/>
        <w:right w:val="none" w:sz="0" w:space="0" w:color="auto"/>
      </w:divBdr>
    </w:div>
    <w:div w:id="1552106665">
      <w:bodyDiv w:val="1"/>
      <w:marLeft w:val="0"/>
      <w:marRight w:val="0"/>
      <w:marTop w:val="0"/>
      <w:marBottom w:val="0"/>
      <w:divBdr>
        <w:top w:val="none" w:sz="0" w:space="0" w:color="auto"/>
        <w:left w:val="none" w:sz="0" w:space="0" w:color="auto"/>
        <w:bottom w:val="none" w:sz="0" w:space="0" w:color="auto"/>
        <w:right w:val="none" w:sz="0" w:space="0" w:color="auto"/>
      </w:divBdr>
    </w:div>
    <w:div w:id="1624768839">
      <w:bodyDiv w:val="1"/>
      <w:marLeft w:val="0"/>
      <w:marRight w:val="0"/>
      <w:marTop w:val="0"/>
      <w:marBottom w:val="0"/>
      <w:divBdr>
        <w:top w:val="none" w:sz="0" w:space="0" w:color="auto"/>
        <w:left w:val="none" w:sz="0" w:space="0" w:color="auto"/>
        <w:bottom w:val="none" w:sz="0" w:space="0" w:color="auto"/>
        <w:right w:val="none" w:sz="0" w:space="0" w:color="auto"/>
      </w:divBdr>
    </w:div>
    <w:div w:id="1639260894">
      <w:bodyDiv w:val="1"/>
      <w:marLeft w:val="0"/>
      <w:marRight w:val="0"/>
      <w:marTop w:val="0"/>
      <w:marBottom w:val="0"/>
      <w:divBdr>
        <w:top w:val="none" w:sz="0" w:space="0" w:color="auto"/>
        <w:left w:val="none" w:sz="0" w:space="0" w:color="auto"/>
        <w:bottom w:val="none" w:sz="0" w:space="0" w:color="auto"/>
        <w:right w:val="none" w:sz="0" w:space="0" w:color="auto"/>
      </w:divBdr>
      <w:divsChild>
        <w:div w:id="1767535469">
          <w:marLeft w:val="0"/>
          <w:marRight w:val="0"/>
          <w:marTop w:val="0"/>
          <w:marBottom w:val="0"/>
          <w:divBdr>
            <w:top w:val="none" w:sz="0" w:space="0" w:color="auto"/>
            <w:left w:val="none" w:sz="0" w:space="0" w:color="auto"/>
            <w:bottom w:val="none" w:sz="0" w:space="0" w:color="auto"/>
            <w:right w:val="none" w:sz="0" w:space="0" w:color="auto"/>
          </w:divBdr>
        </w:div>
        <w:div w:id="1387534706">
          <w:marLeft w:val="0"/>
          <w:marRight w:val="0"/>
          <w:marTop w:val="0"/>
          <w:marBottom w:val="0"/>
          <w:divBdr>
            <w:top w:val="none" w:sz="0" w:space="0" w:color="auto"/>
            <w:left w:val="none" w:sz="0" w:space="0" w:color="auto"/>
            <w:bottom w:val="none" w:sz="0" w:space="0" w:color="auto"/>
            <w:right w:val="none" w:sz="0" w:space="0" w:color="auto"/>
          </w:divBdr>
        </w:div>
        <w:div w:id="821117095">
          <w:marLeft w:val="0"/>
          <w:marRight w:val="0"/>
          <w:marTop w:val="0"/>
          <w:marBottom w:val="0"/>
          <w:divBdr>
            <w:top w:val="none" w:sz="0" w:space="0" w:color="auto"/>
            <w:left w:val="none" w:sz="0" w:space="0" w:color="auto"/>
            <w:bottom w:val="none" w:sz="0" w:space="0" w:color="auto"/>
            <w:right w:val="none" w:sz="0" w:space="0" w:color="auto"/>
          </w:divBdr>
        </w:div>
        <w:div w:id="1501192166">
          <w:marLeft w:val="0"/>
          <w:marRight w:val="0"/>
          <w:marTop w:val="0"/>
          <w:marBottom w:val="0"/>
          <w:divBdr>
            <w:top w:val="none" w:sz="0" w:space="0" w:color="auto"/>
            <w:left w:val="none" w:sz="0" w:space="0" w:color="auto"/>
            <w:bottom w:val="none" w:sz="0" w:space="0" w:color="auto"/>
            <w:right w:val="none" w:sz="0" w:space="0" w:color="auto"/>
          </w:divBdr>
        </w:div>
        <w:div w:id="561715513">
          <w:marLeft w:val="0"/>
          <w:marRight w:val="0"/>
          <w:marTop w:val="0"/>
          <w:marBottom w:val="0"/>
          <w:divBdr>
            <w:top w:val="none" w:sz="0" w:space="0" w:color="auto"/>
            <w:left w:val="none" w:sz="0" w:space="0" w:color="auto"/>
            <w:bottom w:val="none" w:sz="0" w:space="0" w:color="auto"/>
            <w:right w:val="none" w:sz="0" w:space="0" w:color="auto"/>
          </w:divBdr>
        </w:div>
        <w:div w:id="1069614853">
          <w:marLeft w:val="0"/>
          <w:marRight w:val="0"/>
          <w:marTop w:val="0"/>
          <w:marBottom w:val="0"/>
          <w:divBdr>
            <w:top w:val="none" w:sz="0" w:space="0" w:color="auto"/>
            <w:left w:val="none" w:sz="0" w:space="0" w:color="auto"/>
            <w:bottom w:val="none" w:sz="0" w:space="0" w:color="auto"/>
            <w:right w:val="none" w:sz="0" w:space="0" w:color="auto"/>
          </w:divBdr>
        </w:div>
      </w:divsChild>
    </w:div>
    <w:div w:id="1643391513">
      <w:bodyDiv w:val="1"/>
      <w:marLeft w:val="0"/>
      <w:marRight w:val="0"/>
      <w:marTop w:val="0"/>
      <w:marBottom w:val="0"/>
      <w:divBdr>
        <w:top w:val="none" w:sz="0" w:space="0" w:color="auto"/>
        <w:left w:val="none" w:sz="0" w:space="0" w:color="auto"/>
        <w:bottom w:val="none" w:sz="0" w:space="0" w:color="auto"/>
        <w:right w:val="none" w:sz="0" w:space="0" w:color="auto"/>
      </w:divBdr>
    </w:div>
    <w:div w:id="1666057813">
      <w:bodyDiv w:val="1"/>
      <w:marLeft w:val="0"/>
      <w:marRight w:val="0"/>
      <w:marTop w:val="0"/>
      <w:marBottom w:val="0"/>
      <w:divBdr>
        <w:top w:val="none" w:sz="0" w:space="0" w:color="auto"/>
        <w:left w:val="none" w:sz="0" w:space="0" w:color="auto"/>
        <w:bottom w:val="none" w:sz="0" w:space="0" w:color="auto"/>
        <w:right w:val="none" w:sz="0" w:space="0" w:color="auto"/>
      </w:divBdr>
    </w:div>
    <w:div w:id="1681545110">
      <w:bodyDiv w:val="1"/>
      <w:marLeft w:val="0"/>
      <w:marRight w:val="0"/>
      <w:marTop w:val="0"/>
      <w:marBottom w:val="0"/>
      <w:divBdr>
        <w:top w:val="none" w:sz="0" w:space="0" w:color="auto"/>
        <w:left w:val="none" w:sz="0" w:space="0" w:color="auto"/>
        <w:bottom w:val="none" w:sz="0" w:space="0" w:color="auto"/>
        <w:right w:val="none" w:sz="0" w:space="0" w:color="auto"/>
      </w:divBdr>
    </w:div>
    <w:div w:id="1763188121">
      <w:bodyDiv w:val="1"/>
      <w:marLeft w:val="0"/>
      <w:marRight w:val="0"/>
      <w:marTop w:val="0"/>
      <w:marBottom w:val="0"/>
      <w:divBdr>
        <w:top w:val="none" w:sz="0" w:space="0" w:color="auto"/>
        <w:left w:val="none" w:sz="0" w:space="0" w:color="auto"/>
        <w:bottom w:val="none" w:sz="0" w:space="0" w:color="auto"/>
        <w:right w:val="none" w:sz="0" w:space="0" w:color="auto"/>
      </w:divBdr>
    </w:div>
    <w:div w:id="1771316404">
      <w:bodyDiv w:val="1"/>
      <w:marLeft w:val="0"/>
      <w:marRight w:val="0"/>
      <w:marTop w:val="0"/>
      <w:marBottom w:val="0"/>
      <w:divBdr>
        <w:top w:val="none" w:sz="0" w:space="0" w:color="auto"/>
        <w:left w:val="none" w:sz="0" w:space="0" w:color="auto"/>
        <w:bottom w:val="none" w:sz="0" w:space="0" w:color="auto"/>
        <w:right w:val="none" w:sz="0" w:space="0" w:color="auto"/>
      </w:divBdr>
      <w:divsChild>
        <w:div w:id="1583953520">
          <w:marLeft w:val="0"/>
          <w:marRight w:val="0"/>
          <w:marTop w:val="0"/>
          <w:marBottom w:val="0"/>
          <w:divBdr>
            <w:top w:val="none" w:sz="0" w:space="0" w:color="auto"/>
            <w:left w:val="none" w:sz="0" w:space="0" w:color="auto"/>
            <w:bottom w:val="none" w:sz="0" w:space="0" w:color="auto"/>
            <w:right w:val="none" w:sz="0" w:space="0" w:color="auto"/>
          </w:divBdr>
        </w:div>
        <w:div w:id="26179989">
          <w:marLeft w:val="0"/>
          <w:marRight w:val="0"/>
          <w:marTop w:val="0"/>
          <w:marBottom w:val="0"/>
          <w:divBdr>
            <w:top w:val="none" w:sz="0" w:space="0" w:color="auto"/>
            <w:left w:val="none" w:sz="0" w:space="0" w:color="auto"/>
            <w:bottom w:val="none" w:sz="0" w:space="0" w:color="auto"/>
            <w:right w:val="none" w:sz="0" w:space="0" w:color="auto"/>
          </w:divBdr>
        </w:div>
        <w:div w:id="98061510">
          <w:marLeft w:val="0"/>
          <w:marRight w:val="0"/>
          <w:marTop w:val="0"/>
          <w:marBottom w:val="0"/>
          <w:divBdr>
            <w:top w:val="none" w:sz="0" w:space="0" w:color="auto"/>
            <w:left w:val="none" w:sz="0" w:space="0" w:color="auto"/>
            <w:bottom w:val="none" w:sz="0" w:space="0" w:color="auto"/>
            <w:right w:val="none" w:sz="0" w:space="0" w:color="auto"/>
          </w:divBdr>
        </w:div>
        <w:div w:id="1936747733">
          <w:marLeft w:val="0"/>
          <w:marRight w:val="0"/>
          <w:marTop w:val="0"/>
          <w:marBottom w:val="0"/>
          <w:divBdr>
            <w:top w:val="none" w:sz="0" w:space="0" w:color="auto"/>
            <w:left w:val="none" w:sz="0" w:space="0" w:color="auto"/>
            <w:bottom w:val="none" w:sz="0" w:space="0" w:color="auto"/>
            <w:right w:val="none" w:sz="0" w:space="0" w:color="auto"/>
          </w:divBdr>
        </w:div>
        <w:div w:id="1369263116">
          <w:marLeft w:val="0"/>
          <w:marRight w:val="0"/>
          <w:marTop w:val="0"/>
          <w:marBottom w:val="0"/>
          <w:divBdr>
            <w:top w:val="none" w:sz="0" w:space="0" w:color="auto"/>
            <w:left w:val="none" w:sz="0" w:space="0" w:color="auto"/>
            <w:bottom w:val="none" w:sz="0" w:space="0" w:color="auto"/>
            <w:right w:val="none" w:sz="0" w:space="0" w:color="auto"/>
          </w:divBdr>
        </w:div>
        <w:div w:id="10032719">
          <w:marLeft w:val="0"/>
          <w:marRight w:val="0"/>
          <w:marTop w:val="0"/>
          <w:marBottom w:val="0"/>
          <w:divBdr>
            <w:top w:val="none" w:sz="0" w:space="0" w:color="auto"/>
            <w:left w:val="none" w:sz="0" w:space="0" w:color="auto"/>
            <w:bottom w:val="none" w:sz="0" w:space="0" w:color="auto"/>
            <w:right w:val="none" w:sz="0" w:space="0" w:color="auto"/>
          </w:divBdr>
        </w:div>
      </w:divsChild>
    </w:div>
    <w:div w:id="1782530548">
      <w:bodyDiv w:val="1"/>
      <w:marLeft w:val="0"/>
      <w:marRight w:val="0"/>
      <w:marTop w:val="0"/>
      <w:marBottom w:val="0"/>
      <w:divBdr>
        <w:top w:val="none" w:sz="0" w:space="0" w:color="auto"/>
        <w:left w:val="none" w:sz="0" w:space="0" w:color="auto"/>
        <w:bottom w:val="none" w:sz="0" w:space="0" w:color="auto"/>
        <w:right w:val="none" w:sz="0" w:space="0" w:color="auto"/>
      </w:divBdr>
    </w:div>
    <w:div w:id="1786264962">
      <w:bodyDiv w:val="1"/>
      <w:marLeft w:val="0"/>
      <w:marRight w:val="0"/>
      <w:marTop w:val="0"/>
      <w:marBottom w:val="0"/>
      <w:divBdr>
        <w:top w:val="none" w:sz="0" w:space="0" w:color="auto"/>
        <w:left w:val="none" w:sz="0" w:space="0" w:color="auto"/>
        <w:bottom w:val="none" w:sz="0" w:space="0" w:color="auto"/>
        <w:right w:val="none" w:sz="0" w:space="0" w:color="auto"/>
      </w:divBdr>
    </w:div>
    <w:div w:id="1802503868">
      <w:bodyDiv w:val="1"/>
      <w:marLeft w:val="0"/>
      <w:marRight w:val="0"/>
      <w:marTop w:val="0"/>
      <w:marBottom w:val="0"/>
      <w:divBdr>
        <w:top w:val="none" w:sz="0" w:space="0" w:color="auto"/>
        <w:left w:val="none" w:sz="0" w:space="0" w:color="auto"/>
        <w:bottom w:val="none" w:sz="0" w:space="0" w:color="auto"/>
        <w:right w:val="none" w:sz="0" w:space="0" w:color="auto"/>
      </w:divBdr>
    </w:div>
    <w:div w:id="1804812335">
      <w:bodyDiv w:val="1"/>
      <w:marLeft w:val="0"/>
      <w:marRight w:val="0"/>
      <w:marTop w:val="0"/>
      <w:marBottom w:val="0"/>
      <w:divBdr>
        <w:top w:val="none" w:sz="0" w:space="0" w:color="auto"/>
        <w:left w:val="none" w:sz="0" w:space="0" w:color="auto"/>
        <w:bottom w:val="none" w:sz="0" w:space="0" w:color="auto"/>
        <w:right w:val="none" w:sz="0" w:space="0" w:color="auto"/>
      </w:divBdr>
      <w:divsChild>
        <w:div w:id="1228149161">
          <w:marLeft w:val="0"/>
          <w:marRight w:val="0"/>
          <w:marTop w:val="0"/>
          <w:marBottom w:val="450"/>
          <w:divBdr>
            <w:top w:val="none" w:sz="0" w:space="0" w:color="auto"/>
            <w:left w:val="none" w:sz="0" w:space="0" w:color="auto"/>
            <w:bottom w:val="none" w:sz="0" w:space="0" w:color="auto"/>
            <w:right w:val="none" w:sz="0" w:space="0" w:color="auto"/>
          </w:divBdr>
          <w:divsChild>
            <w:div w:id="1918661588">
              <w:marLeft w:val="0"/>
              <w:marRight w:val="0"/>
              <w:marTop w:val="0"/>
              <w:marBottom w:val="0"/>
              <w:divBdr>
                <w:top w:val="none" w:sz="0" w:space="0" w:color="auto"/>
                <w:left w:val="none" w:sz="0" w:space="0" w:color="auto"/>
                <w:bottom w:val="none" w:sz="0" w:space="0" w:color="auto"/>
                <w:right w:val="none" w:sz="0" w:space="0" w:color="auto"/>
              </w:divBdr>
            </w:div>
          </w:divsChild>
        </w:div>
        <w:div w:id="960959533">
          <w:marLeft w:val="0"/>
          <w:marRight w:val="0"/>
          <w:marTop w:val="0"/>
          <w:marBottom w:val="450"/>
          <w:divBdr>
            <w:top w:val="none" w:sz="0" w:space="0" w:color="auto"/>
            <w:left w:val="none" w:sz="0" w:space="0" w:color="auto"/>
            <w:bottom w:val="none" w:sz="0" w:space="0" w:color="auto"/>
            <w:right w:val="none" w:sz="0" w:space="0" w:color="auto"/>
          </w:divBdr>
          <w:divsChild>
            <w:div w:id="394860944">
              <w:marLeft w:val="0"/>
              <w:marRight w:val="0"/>
              <w:marTop w:val="0"/>
              <w:marBottom w:val="0"/>
              <w:divBdr>
                <w:top w:val="none" w:sz="0" w:space="0" w:color="auto"/>
                <w:left w:val="none" w:sz="0" w:space="0" w:color="auto"/>
                <w:bottom w:val="none" w:sz="0" w:space="0" w:color="auto"/>
                <w:right w:val="none" w:sz="0" w:space="0" w:color="auto"/>
              </w:divBdr>
            </w:div>
          </w:divsChild>
        </w:div>
        <w:div w:id="1840658126">
          <w:marLeft w:val="0"/>
          <w:marRight w:val="0"/>
          <w:marTop w:val="0"/>
          <w:marBottom w:val="450"/>
          <w:divBdr>
            <w:top w:val="none" w:sz="0" w:space="0" w:color="auto"/>
            <w:left w:val="none" w:sz="0" w:space="0" w:color="auto"/>
            <w:bottom w:val="none" w:sz="0" w:space="0" w:color="auto"/>
            <w:right w:val="none" w:sz="0" w:space="0" w:color="auto"/>
          </w:divBdr>
          <w:divsChild>
            <w:div w:id="434011314">
              <w:marLeft w:val="0"/>
              <w:marRight w:val="0"/>
              <w:marTop w:val="0"/>
              <w:marBottom w:val="0"/>
              <w:divBdr>
                <w:top w:val="none" w:sz="0" w:space="0" w:color="auto"/>
                <w:left w:val="none" w:sz="0" w:space="0" w:color="auto"/>
                <w:bottom w:val="none" w:sz="0" w:space="0" w:color="auto"/>
                <w:right w:val="none" w:sz="0" w:space="0" w:color="auto"/>
              </w:divBdr>
            </w:div>
          </w:divsChild>
        </w:div>
        <w:div w:id="695157884">
          <w:marLeft w:val="0"/>
          <w:marRight w:val="0"/>
          <w:marTop w:val="0"/>
          <w:marBottom w:val="450"/>
          <w:divBdr>
            <w:top w:val="none" w:sz="0" w:space="0" w:color="auto"/>
            <w:left w:val="none" w:sz="0" w:space="0" w:color="auto"/>
            <w:bottom w:val="none" w:sz="0" w:space="0" w:color="auto"/>
            <w:right w:val="none" w:sz="0" w:space="0" w:color="auto"/>
          </w:divBdr>
          <w:divsChild>
            <w:div w:id="5686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546">
      <w:bodyDiv w:val="1"/>
      <w:marLeft w:val="0"/>
      <w:marRight w:val="0"/>
      <w:marTop w:val="0"/>
      <w:marBottom w:val="0"/>
      <w:divBdr>
        <w:top w:val="none" w:sz="0" w:space="0" w:color="auto"/>
        <w:left w:val="none" w:sz="0" w:space="0" w:color="auto"/>
        <w:bottom w:val="none" w:sz="0" w:space="0" w:color="auto"/>
        <w:right w:val="none" w:sz="0" w:space="0" w:color="auto"/>
      </w:divBdr>
      <w:divsChild>
        <w:div w:id="1445660995">
          <w:marLeft w:val="0"/>
          <w:marRight w:val="0"/>
          <w:marTop w:val="0"/>
          <w:marBottom w:val="0"/>
          <w:divBdr>
            <w:top w:val="none" w:sz="0" w:space="0" w:color="auto"/>
            <w:left w:val="none" w:sz="0" w:space="0" w:color="auto"/>
            <w:bottom w:val="none" w:sz="0" w:space="0" w:color="auto"/>
            <w:right w:val="none" w:sz="0" w:space="0" w:color="auto"/>
          </w:divBdr>
          <w:divsChild>
            <w:div w:id="424427540">
              <w:marLeft w:val="0"/>
              <w:marRight w:val="0"/>
              <w:marTop w:val="0"/>
              <w:marBottom w:val="0"/>
              <w:divBdr>
                <w:top w:val="none" w:sz="0" w:space="0" w:color="auto"/>
                <w:left w:val="none" w:sz="0" w:space="0" w:color="auto"/>
                <w:bottom w:val="none" w:sz="0" w:space="0" w:color="auto"/>
                <w:right w:val="none" w:sz="0" w:space="0" w:color="auto"/>
              </w:divBdr>
              <w:divsChild>
                <w:div w:id="1602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1540">
      <w:bodyDiv w:val="1"/>
      <w:marLeft w:val="0"/>
      <w:marRight w:val="0"/>
      <w:marTop w:val="0"/>
      <w:marBottom w:val="0"/>
      <w:divBdr>
        <w:top w:val="none" w:sz="0" w:space="0" w:color="auto"/>
        <w:left w:val="none" w:sz="0" w:space="0" w:color="auto"/>
        <w:bottom w:val="none" w:sz="0" w:space="0" w:color="auto"/>
        <w:right w:val="none" w:sz="0" w:space="0" w:color="auto"/>
      </w:divBdr>
    </w:div>
    <w:div w:id="1868443763">
      <w:bodyDiv w:val="1"/>
      <w:marLeft w:val="0"/>
      <w:marRight w:val="0"/>
      <w:marTop w:val="0"/>
      <w:marBottom w:val="0"/>
      <w:divBdr>
        <w:top w:val="none" w:sz="0" w:space="0" w:color="auto"/>
        <w:left w:val="none" w:sz="0" w:space="0" w:color="auto"/>
        <w:bottom w:val="none" w:sz="0" w:space="0" w:color="auto"/>
        <w:right w:val="none" w:sz="0" w:space="0" w:color="auto"/>
      </w:divBdr>
    </w:div>
    <w:div w:id="1904942866">
      <w:bodyDiv w:val="1"/>
      <w:marLeft w:val="0"/>
      <w:marRight w:val="0"/>
      <w:marTop w:val="0"/>
      <w:marBottom w:val="0"/>
      <w:divBdr>
        <w:top w:val="none" w:sz="0" w:space="0" w:color="auto"/>
        <w:left w:val="none" w:sz="0" w:space="0" w:color="auto"/>
        <w:bottom w:val="none" w:sz="0" w:space="0" w:color="auto"/>
        <w:right w:val="none" w:sz="0" w:space="0" w:color="auto"/>
      </w:divBdr>
    </w:div>
    <w:div w:id="1929535813">
      <w:bodyDiv w:val="1"/>
      <w:marLeft w:val="0"/>
      <w:marRight w:val="0"/>
      <w:marTop w:val="0"/>
      <w:marBottom w:val="0"/>
      <w:divBdr>
        <w:top w:val="none" w:sz="0" w:space="0" w:color="auto"/>
        <w:left w:val="none" w:sz="0" w:space="0" w:color="auto"/>
        <w:bottom w:val="none" w:sz="0" w:space="0" w:color="auto"/>
        <w:right w:val="none" w:sz="0" w:space="0" w:color="auto"/>
      </w:divBdr>
      <w:divsChild>
        <w:div w:id="690498189">
          <w:marLeft w:val="0"/>
          <w:marRight w:val="0"/>
          <w:marTop w:val="0"/>
          <w:marBottom w:val="0"/>
          <w:divBdr>
            <w:top w:val="none" w:sz="0" w:space="0" w:color="auto"/>
            <w:left w:val="none" w:sz="0" w:space="0" w:color="auto"/>
            <w:bottom w:val="none" w:sz="0" w:space="0" w:color="auto"/>
            <w:right w:val="none" w:sz="0" w:space="0" w:color="auto"/>
          </w:divBdr>
          <w:divsChild>
            <w:div w:id="2064021957">
              <w:marLeft w:val="0"/>
              <w:marRight w:val="0"/>
              <w:marTop w:val="0"/>
              <w:marBottom w:val="0"/>
              <w:divBdr>
                <w:top w:val="none" w:sz="0" w:space="0" w:color="auto"/>
                <w:left w:val="none" w:sz="0" w:space="0" w:color="auto"/>
                <w:bottom w:val="none" w:sz="0" w:space="0" w:color="auto"/>
                <w:right w:val="none" w:sz="0" w:space="0" w:color="auto"/>
              </w:divBdr>
              <w:divsChild>
                <w:div w:id="9910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7266">
      <w:bodyDiv w:val="1"/>
      <w:marLeft w:val="0"/>
      <w:marRight w:val="0"/>
      <w:marTop w:val="0"/>
      <w:marBottom w:val="0"/>
      <w:divBdr>
        <w:top w:val="none" w:sz="0" w:space="0" w:color="auto"/>
        <w:left w:val="none" w:sz="0" w:space="0" w:color="auto"/>
        <w:bottom w:val="none" w:sz="0" w:space="0" w:color="auto"/>
        <w:right w:val="none" w:sz="0" w:space="0" w:color="auto"/>
      </w:divBdr>
    </w:div>
    <w:div w:id="2004357979">
      <w:bodyDiv w:val="1"/>
      <w:marLeft w:val="0"/>
      <w:marRight w:val="0"/>
      <w:marTop w:val="0"/>
      <w:marBottom w:val="0"/>
      <w:divBdr>
        <w:top w:val="none" w:sz="0" w:space="0" w:color="auto"/>
        <w:left w:val="none" w:sz="0" w:space="0" w:color="auto"/>
        <w:bottom w:val="none" w:sz="0" w:space="0" w:color="auto"/>
        <w:right w:val="none" w:sz="0" w:space="0" w:color="auto"/>
      </w:divBdr>
    </w:div>
    <w:div w:id="2042240302">
      <w:bodyDiv w:val="1"/>
      <w:marLeft w:val="0"/>
      <w:marRight w:val="0"/>
      <w:marTop w:val="0"/>
      <w:marBottom w:val="0"/>
      <w:divBdr>
        <w:top w:val="none" w:sz="0" w:space="0" w:color="auto"/>
        <w:left w:val="none" w:sz="0" w:space="0" w:color="auto"/>
        <w:bottom w:val="none" w:sz="0" w:space="0" w:color="auto"/>
        <w:right w:val="none" w:sz="0" w:space="0" w:color="auto"/>
      </w:divBdr>
    </w:div>
    <w:div w:id="2055307212">
      <w:bodyDiv w:val="1"/>
      <w:marLeft w:val="0"/>
      <w:marRight w:val="0"/>
      <w:marTop w:val="0"/>
      <w:marBottom w:val="0"/>
      <w:divBdr>
        <w:top w:val="none" w:sz="0" w:space="0" w:color="auto"/>
        <w:left w:val="none" w:sz="0" w:space="0" w:color="auto"/>
        <w:bottom w:val="none" w:sz="0" w:space="0" w:color="auto"/>
        <w:right w:val="none" w:sz="0" w:space="0" w:color="auto"/>
      </w:divBdr>
      <w:divsChild>
        <w:div w:id="1417432489">
          <w:marLeft w:val="0"/>
          <w:marRight w:val="0"/>
          <w:marTop w:val="0"/>
          <w:marBottom w:val="0"/>
          <w:divBdr>
            <w:top w:val="none" w:sz="0" w:space="0" w:color="auto"/>
            <w:left w:val="none" w:sz="0" w:space="0" w:color="auto"/>
            <w:bottom w:val="none" w:sz="0" w:space="0" w:color="auto"/>
            <w:right w:val="none" w:sz="0" w:space="0" w:color="auto"/>
          </w:divBdr>
        </w:div>
        <w:div w:id="1629778233">
          <w:marLeft w:val="0"/>
          <w:marRight w:val="0"/>
          <w:marTop w:val="0"/>
          <w:marBottom w:val="0"/>
          <w:divBdr>
            <w:top w:val="none" w:sz="0" w:space="0" w:color="auto"/>
            <w:left w:val="none" w:sz="0" w:space="0" w:color="auto"/>
            <w:bottom w:val="none" w:sz="0" w:space="0" w:color="auto"/>
            <w:right w:val="none" w:sz="0" w:space="0" w:color="auto"/>
          </w:divBdr>
        </w:div>
        <w:div w:id="1189756617">
          <w:marLeft w:val="0"/>
          <w:marRight w:val="0"/>
          <w:marTop w:val="0"/>
          <w:marBottom w:val="0"/>
          <w:divBdr>
            <w:top w:val="none" w:sz="0" w:space="0" w:color="auto"/>
            <w:left w:val="none" w:sz="0" w:space="0" w:color="auto"/>
            <w:bottom w:val="none" w:sz="0" w:space="0" w:color="auto"/>
            <w:right w:val="none" w:sz="0" w:space="0" w:color="auto"/>
          </w:divBdr>
        </w:div>
        <w:div w:id="1123117386">
          <w:marLeft w:val="0"/>
          <w:marRight w:val="0"/>
          <w:marTop w:val="0"/>
          <w:marBottom w:val="0"/>
          <w:divBdr>
            <w:top w:val="none" w:sz="0" w:space="0" w:color="auto"/>
            <w:left w:val="none" w:sz="0" w:space="0" w:color="auto"/>
            <w:bottom w:val="none" w:sz="0" w:space="0" w:color="auto"/>
            <w:right w:val="none" w:sz="0" w:space="0" w:color="auto"/>
          </w:divBdr>
        </w:div>
        <w:div w:id="1407534512">
          <w:marLeft w:val="0"/>
          <w:marRight w:val="0"/>
          <w:marTop w:val="0"/>
          <w:marBottom w:val="0"/>
          <w:divBdr>
            <w:top w:val="none" w:sz="0" w:space="0" w:color="auto"/>
            <w:left w:val="none" w:sz="0" w:space="0" w:color="auto"/>
            <w:bottom w:val="none" w:sz="0" w:space="0" w:color="auto"/>
            <w:right w:val="none" w:sz="0" w:space="0" w:color="auto"/>
          </w:divBdr>
        </w:div>
        <w:div w:id="389426801">
          <w:marLeft w:val="0"/>
          <w:marRight w:val="0"/>
          <w:marTop w:val="0"/>
          <w:marBottom w:val="0"/>
          <w:divBdr>
            <w:top w:val="none" w:sz="0" w:space="0" w:color="auto"/>
            <w:left w:val="none" w:sz="0" w:space="0" w:color="auto"/>
            <w:bottom w:val="none" w:sz="0" w:space="0" w:color="auto"/>
            <w:right w:val="none" w:sz="0" w:space="0" w:color="auto"/>
          </w:divBdr>
        </w:div>
        <w:div w:id="1222672201">
          <w:marLeft w:val="0"/>
          <w:marRight w:val="0"/>
          <w:marTop w:val="0"/>
          <w:marBottom w:val="0"/>
          <w:divBdr>
            <w:top w:val="none" w:sz="0" w:space="0" w:color="auto"/>
            <w:left w:val="none" w:sz="0" w:space="0" w:color="auto"/>
            <w:bottom w:val="none" w:sz="0" w:space="0" w:color="auto"/>
            <w:right w:val="none" w:sz="0" w:space="0" w:color="auto"/>
          </w:divBdr>
        </w:div>
        <w:div w:id="1247231979">
          <w:marLeft w:val="0"/>
          <w:marRight w:val="0"/>
          <w:marTop w:val="0"/>
          <w:marBottom w:val="0"/>
          <w:divBdr>
            <w:top w:val="none" w:sz="0" w:space="0" w:color="auto"/>
            <w:left w:val="none" w:sz="0" w:space="0" w:color="auto"/>
            <w:bottom w:val="none" w:sz="0" w:space="0" w:color="auto"/>
            <w:right w:val="none" w:sz="0" w:space="0" w:color="auto"/>
          </w:divBdr>
        </w:div>
        <w:div w:id="1096291962">
          <w:marLeft w:val="0"/>
          <w:marRight w:val="0"/>
          <w:marTop w:val="0"/>
          <w:marBottom w:val="0"/>
          <w:divBdr>
            <w:top w:val="none" w:sz="0" w:space="0" w:color="auto"/>
            <w:left w:val="none" w:sz="0" w:space="0" w:color="auto"/>
            <w:bottom w:val="none" w:sz="0" w:space="0" w:color="auto"/>
            <w:right w:val="none" w:sz="0" w:space="0" w:color="auto"/>
          </w:divBdr>
        </w:div>
        <w:div w:id="157569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enetglob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shmanwakefiel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dia.poland@cushwak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bc716-2ef2-42ff-a34e-e437c0f24fe9" xsi:nil="true"/>
    <lcf76f155ced4ddcb4097134ff3c332f xmlns="5927d1f9-8819-4dd8-877c-e9f8844f95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18526F10DA64CBE3916EAA4716759" ma:contentTypeVersion="13" ma:contentTypeDescription="Create a new document." ma:contentTypeScope="" ma:versionID="8f38994234cec2c17946699ec4ef8f31">
  <xsd:schema xmlns:xsd="http://www.w3.org/2001/XMLSchema" xmlns:xs="http://www.w3.org/2001/XMLSchema" xmlns:p="http://schemas.microsoft.com/office/2006/metadata/properties" xmlns:ns2="5927d1f9-8819-4dd8-877c-e9f8844f9576" xmlns:ns3="016bc716-2ef2-42ff-a34e-e437c0f24fe9" targetNamespace="http://schemas.microsoft.com/office/2006/metadata/properties" ma:root="true" ma:fieldsID="dc0dc1a018ddf67e9e3acf63985829fe" ns2:_="" ns3:_="">
    <xsd:import namespace="5927d1f9-8819-4dd8-877c-e9f8844f9576"/>
    <xsd:import namespace="016bc716-2ef2-42ff-a34e-e437c0f24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d1f9-8819-4dd8-877c-e9f8844f9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603ae-3637-436a-adfc-4f3f468c95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c716-2ef2-42ff-a34e-e437c0f24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cb88db-cc8f-49c6-a577-6708ad005284}" ma:internalName="TaxCatchAll" ma:showField="CatchAllData" ma:web="016bc716-2ef2-42ff-a34e-e437c0f24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DD7A-76A6-40A8-8556-74F891675D7E}">
  <ds:schemaRefs>
    <ds:schemaRef ds:uri="http://schemas.microsoft.com/office/2006/metadata/properties"/>
    <ds:schemaRef ds:uri="http://schemas.microsoft.com/office/infopath/2007/PartnerControls"/>
    <ds:schemaRef ds:uri="016bc716-2ef2-42ff-a34e-e437c0f24fe9"/>
    <ds:schemaRef ds:uri="5927d1f9-8819-4dd8-877c-e9f8844f9576"/>
  </ds:schemaRefs>
</ds:datastoreItem>
</file>

<file path=customXml/itemProps2.xml><?xml version="1.0" encoding="utf-8"?>
<ds:datastoreItem xmlns:ds="http://schemas.openxmlformats.org/officeDocument/2006/customXml" ds:itemID="{8C303DC5-36C3-4D01-A699-677E7E955689}">
  <ds:schemaRefs>
    <ds:schemaRef ds:uri="http://schemas.microsoft.com/sharepoint/v3/contenttype/forms"/>
  </ds:schemaRefs>
</ds:datastoreItem>
</file>

<file path=customXml/itemProps3.xml><?xml version="1.0" encoding="utf-8"?>
<ds:datastoreItem xmlns:ds="http://schemas.openxmlformats.org/officeDocument/2006/customXml" ds:itemID="{1A7BC97A-3F98-4379-AC5E-E8A74E27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d1f9-8819-4dd8-877c-e9f8844f9576"/>
    <ds:schemaRef ds:uri="016bc716-2ef2-42ff-a34e-e437c0f2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A6107-656D-4D01-9627-337AEBCB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1594</Words>
  <Characters>9566</Characters>
  <Application>Microsoft Office Word</Application>
  <DocSecurity>0</DocSecurity>
  <Lines>79</Lines>
  <Paragraphs>22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Link Leaders</cp:lastModifiedBy>
  <cp:revision>2</cp:revision>
  <dcterms:created xsi:type="dcterms:W3CDTF">2025-07-18T08:23:00Z</dcterms:created>
  <dcterms:modified xsi:type="dcterms:W3CDTF">2025-07-18T08:23:00Z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01c4386eb9a1dc9de2fec12738f87015bcc4ef4c8803dccae430c9e60e042de1</vt:lpwstr>
  </property>
  <property fmtid="{D5CDD505-2E9C-101B-9397-08002B2CF9AE}" pid="3" name="ContentTypeId">
    <vt:lpwstr>0x010100EC618526F10DA64CBE3916EAA4716759</vt:lpwstr>
  </property>
  <property fmtid="{D5CDD505-2E9C-101B-9397-08002B2CF9AE}" pid="4" name="MediaServiceImageTags">
    <vt:lpwstr/>
  </property>
</Properties>
</file>