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76FF" w14:textId="77777777" w:rsidR="00B30060" w:rsidRPr="00225E7A" w:rsidRDefault="00B30060" w:rsidP="00B30060">
      <w:pPr>
        <w:rPr>
          <w:rFonts w:ascii="Noto Sans" w:eastAsia="Segoe UI" w:hAnsi="Noto Sans" w:cs="Noto Sans"/>
          <w:b/>
          <w:bCs/>
          <w:color w:val="323130"/>
          <w:sz w:val="24"/>
          <w:szCs w:val="24"/>
          <w:lang w:val="es-ES"/>
        </w:rPr>
      </w:pPr>
      <w:r>
        <w:rPr>
          <w:rFonts w:ascii="Noto Sans" w:hAnsi="Noto Sans" w:cs="Noto Sans"/>
          <w:b/>
          <w:bCs/>
          <w:sz w:val="24"/>
          <w:szCs w:val="24"/>
          <w:lang w:val="fr"/>
        </w:rPr>
        <w:t>Codes 2D GS1 : ouvrir la voie à une</w:t>
      </w:r>
      <w:r>
        <w:rPr>
          <w:rFonts w:ascii="Noto Sans" w:hAnsi="Noto Sans" w:cs="Noto Sans"/>
          <w:b/>
          <w:bCs/>
          <w:color w:val="323130"/>
          <w:sz w:val="24"/>
          <w:szCs w:val="24"/>
          <w:lang w:val="fr"/>
        </w:rPr>
        <w:t xml:space="preserve"> productivité accrue dans le secteur du bâtiment et de la construction </w:t>
      </w:r>
    </w:p>
    <w:p w14:paraId="702AF358" w14:textId="77777777" w:rsidR="00B30060" w:rsidRPr="00225E7A" w:rsidRDefault="00B30060" w:rsidP="00B30060">
      <w:pPr>
        <w:rPr>
          <w:rFonts w:ascii="Noto Sans" w:hAnsi="Noto Sans" w:cs="Noto Sans"/>
          <w:b/>
          <w:bCs/>
          <w:i/>
          <w:iCs/>
          <w:sz w:val="22"/>
          <w:lang w:val="es-ES"/>
        </w:rPr>
      </w:pPr>
      <w:r>
        <w:rPr>
          <w:rFonts w:ascii="Noto Sans" w:hAnsi="Noto Sans" w:cs="Noto Sans"/>
          <w:i/>
          <w:iCs/>
          <w:sz w:val="22"/>
          <w:lang w:val="fr"/>
        </w:rPr>
        <w:t xml:space="preserve">L'industrie mondiale de la construction est un paysage complexe caractérisé par des opportunités comme des défis. Bien que la croissance soit attendue, les entreprises doivent s'adapter à l'évolution de la dynamique du marché pour rester compétitives et rentables. </w:t>
      </w:r>
    </w:p>
    <w:p w14:paraId="3AC66796" w14:textId="77777777" w:rsidR="00B30060" w:rsidRPr="00225E7A" w:rsidRDefault="00B30060" w:rsidP="00B30060">
      <w:pPr>
        <w:rPr>
          <w:rFonts w:ascii="Noto Sans" w:hAnsi="Noto Sans" w:cs="Noto Sans"/>
          <w:i/>
          <w:iCs/>
          <w:sz w:val="22"/>
          <w:lang w:val="es-ES"/>
        </w:rPr>
      </w:pPr>
      <w:r>
        <w:rPr>
          <w:rFonts w:ascii="Noto Sans" w:hAnsi="Noto Sans" w:cs="Noto Sans"/>
          <w:i/>
          <w:iCs/>
          <w:sz w:val="22"/>
          <w:lang w:val="fr"/>
        </w:rPr>
        <w:t xml:space="preserve">Selon le cabinet </w:t>
      </w:r>
      <w:hyperlink r:id="rId7" w:tgtFrame="_blank" w:history="1">
        <w:r>
          <w:rPr>
            <w:rStyle w:val="Hyperlink"/>
            <w:rFonts w:ascii="Noto Sans" w:hAnsi="Noto Sans" w:cs="Noto Sans"/>
            <w:i/>
            <w:iCs/>
            <w:sz w:val="22"/>
            <w:lang w:val="fr"/>
          </w:rPr>
          <w:t>McKinsey</w:t>
        </w:r>
      </w:hyperlink>
      <w:r>
        <w:rPr>
          <w:rFonts w:ascii="Noto Sans" w:hAnsi="Noto Sans" w:cs="Noto Sans"/>
          <w:i/>
          <w:iCs/>
          <w:sz w:val="22"/>
          <w:lang w:val="fr"/>
        </w:rPr>
        <w:t>, si le secteur du bâtiment et de la construction maintient ses niveaux de demande actuels, il pourrait croître de 70 % d'ici à 2040. Il est cependant peu probable qu'il y parvienne, les prévisions indiquant également que la production mondiale de construction pourrait être inférieure à la demande d'un montant sidérant de 40 000 milliards de dollars d'ici à 2040.</w:t>
      </w:r>
    </w:p>
    <w:p w14:paraId="6880BFA1" w14:textId="77777777" w:rsidR="00B30060" w:rsidRPr="00225E7A" w:rsidRDefault="00B30060" w:rsidP="00B30060">
      <w:pPr>
        <w:rPr>
          <w:rFonts w:ascii="Noto Sans" w:hAnsi="Noto Sans" w:cs="Noto Sans"/>
          <w:i/>
          <w:iCs/>
          <w:sz w:val="22"/>
          <w:lang w:val="fr"/>
        </w:rPr>
      </w:pPr>
      <w:r>
        <w:rPr>
          <w:rFonts w:ascii="Noto Sans" w:hAnsi="Noto Sans" w:cs="Noto Sans"/>
          <w:i/>
          <w:iCs/>
          <w:sz w:val="22"/>
          <w:lang w:val="fr"/>
        </w:rPr>
        <w:t>Plusieurs facteurs contribuent à ce retard de productivité, notamment les pénuries de main-d'œuvre et la dépendance excessive à l'égard de processus obsolètes, ce dernier facteur exacerbant le premier. L'abandon des processus manuels traditionnels et l'adoption de méthodes de travail plus innovantes et plus efficaces sont donc essentiels pour que le secteur puisse relever les défis de la productivité et de la production.</w:t>
      </w:r>
    </w:p>
    <w:p w14:paraId="2E447109" w14:textId="77777777" w:rsidR="00B30060" w:rsidRPr="00225E7A" w:rsidRDefault="00B30060" w:rsidP="00B30060">
      <w:pPr>
        <w:rPr>
          <w:rFonts w:ascii="Noto Sans" w:hAnsi="Noto Sans" w:cs="Noto Sans"/>
          <w:i/>
          <w:iCs/>
          <w:sz w:val="22"/>
          <w:lang w:val="fr"/>
        </w:rPr>
      </w:pPr>
      <w:r>
        <w:rPr>
          <w:rFonts w:ascii="Noto Sans" w:hAnsi="Noto Sans" w:cs="Noto Sans"/>
          <w:i/>
          <w:iCs/>
          <w:sz w:val="22"/>
          <w:lang w:val="fr"/>
        </w:rPr>
        <w:t>La technologie pourrait jouer un rôle central dans l'amélioration de l'efficacité, mais les solutions doivent être faciles à adopter et évolutives. Rob Ellinor, Programme Manager (Strategic Business) chez Domino Printing Sciences, examine la manière dont les codes 2D augmentés GS1 pourraient fournir une solution relativement simple, basée sur des normes et universellement acceptée pour répondre aux défis et à la complexité.</w:t>
      </w:r>
    </w:p>
    <w:p w14:paraId="12B12F2E" w14:textId="77777777" w:rsidR="00B30060" w:rsidRPr="00225E7A" w:rsidRDefault="00B30060" w:rsidP="00B30060">
      <w:pPr>
        <w:rPr>
          <w:rFonts w:ascii="Noto Sans" w:hAnsi="Noto Sans" w:cs="Noto Sans"/>
          <w:sz w:val="22"/>
          <w:lang w:val="es-ES"/>
        </w:rPr>
      </w:pPr>
      <w:r>
        <w:rPr>
          <w:rFonts w:ascii="Noto Sans" w:hAnsi="Noto Sans" w:cs="Noto Sans"/>
          <w:b/>
          <w:bCs/>
          <w:sz w:val="22"/>
          <w:lang w:val="fr"/>
        </w:rPr>
        <w:t xml:space="preserve">Productivité et numérisation </w:t>
      </w:r>
    </w:p>
    <w:p w14:paraId="326BA113"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Á l'échelle internationale, le secteur du bâtiment et de la construction a enregistré des résultats médiocres en matière de productivité. Entre 2000 et 2022, la </w:t>
      </w:r>
      <w:hyperlink r:id="rId8" w:history="1">
        <w:r>
          <w:rPr>
            <w:rStyle w:val="Hyperlink"/>
            <w:rFonts w:ascii="Noto Sans" w:hAnsi="Noto Sans" w:cs="Noto Sans"/>
            <w:sz w:val="22"/>
            <w:lang w:val="fr"/>
          </w:rPr>
          <w:t>productivité du secteur n'a été améliorée que de 10 %</w:t>
        </w:r>
      </w:hyperlink>
      <w:r>
        <w:rPr>
          <w:rFonts w:ascii="Noto Sans" w:hAnsi="Noto Sans" w:cs="Noto Sans"/>
          <w:sz w:val="22"/>
          <w:lang w:val="fr"/>
        </w:rPr>
        <w:t xml:space="preserve"> et elle est nettement en retard par rapport au secteur manufacturier (90 %) et à l'économie mondiale (50 %). </w:t>
      </w:r>
    </w:p>
    <w:p w14:paraId="660F1391"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D'un point de vue positif, </w:t>
      </w:r>
      <w:hyperlink r:id="rId9" w:tgtFrame="_blank" w:history="1">
        <w:r>
          <w:rPr>
            <w:rStyle w:val="Hyperlink"/>
            <w:rFonts w:ascii="Noto Sans" w:hAnsi="Noto Sans" w:cs="Noto Sans"/>
            <w:sz w:val="22"/>
            <w:lang w:val="fr"/>
          </w:rPr>
          <w:t>McKinsey</w:t>
        </w:r>
      </w:hyperlink>
      <w:r>
        <w:rPr>
          <w:rFonts w:ascii="Noto Sans" w:hAnsi="Noto Sans" w:cs="Noto Sans"/>
          <w:sz w:val="22"/>
          <w:lang w:val="fr"/>
        </w:rPr>
        <w:t xml:space="preserve"> indique qu'une augmentation moyenne de la production de seulement 1 % par an pourrait suffire à répondre aux demandes </w:t>
      </w:r>
      <w:r>
        <w:rPr>
          <w:rFonts w:ascii="Noto Sans" w:hAnsi="Noto Sans" w:cs="Noto Sans"/>
          <w:sz w:val="22"/>
          <w:lang w:val="fr"/>
        </w:rPr>
        <w:lastRenderedPageBreak/>
        <w:t>futures, mais le changement doit se faire rapidement. Avec la législation mondiale et européenne à venir axée sur l'amélioration de la sécurité des bâtiments et la promotion de la durabilité et de la réduction des déchets, le maintien des pratiques actuelles n'est pas une option.</w:t>
      </w:r>
    </w:p>
    <w:p w14:paraId="6B6E8E52"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Ce n'est probablement pas une coïncidence avec sa faible productivité, mais le secteur du bâtiment et de la construction est également en retard dans ses efforts de numérisation : l'industrie mondiale consacre en moyenne </w:t>
      </w:r>
      <w:hyperlink r:id="rId10" w:tgtFrame="_blank" w:history="1">
        <w:r>
          <w:rPr>
            <w:rStyle w:val="Hyperlink"/>
            <w:rFonts w:ascii="Noto Sans" w:hAnsi="Noto Sans" w:cs="Noto Sans"/>
            <w:sz w:val="22"/>
            <w:lang w:val="fr"/>
          </w:rPr>
          <w:t>moins de 1 % de ses revenus au développement de l'infrastructure informatique</w:t>
        </w:r>
      </w:hyperlink>
      <w:r>
        <w:rPr>
          <w:rFonts w:ascii="Noto Sans" w:hAnsi="Noto Sans" w:cs="Noto Sans"/>
          <w:sz w:val="22"/>
          <w:lang w:val="fr"/>
        </w:rPr>
        <w:t xml:space="preserve">. </w:t>
      </w:r>
    </w:p>
    <w:p w14:paraId="0B56C82B"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La forte dépendance à l'égard des processus manuels, y compris le suivi sur papier et la saisie manuelle des données, entraîne inévitablement des erreurs, des retards et des gaspillages inutiles. En revanche, l'adoption d'outils et de technologies numériques peut contribuer à réduire ces inefficacités opérationnelles, ce qui, en fin de compte, stimule la productivité et permet de répondre à la demande. </w:t>
      </w:r>
    </w:p>
    <w:p w14:paraId="1B49CE26" w14:textId="77777777" w:rsidR="00B30060" w:rsidRPr="00225E7A" w:rsidRDefault="00B30060" w:rsidP="00B30060">
      <w:pPr>
        <w:rPr>
          <w:rFonts w:ascii="Noto Sans" w:hAnsi="Noto Sans" w:cs="Noto Sans"/>
          <w:sz w:val="22"/>
          <w:lang w:val="es-ES"/>
        </w:rPr>
      </w:pPr>
      <w:r>
        <w:rPr>
          <w:rFonts w:ascii="Noto Sans" w:hAnsi="Noto Sans" w:cs="Noto Sans"/>
          <w:b/>
          <w:bCs/>
          <w:sz w:val="22"/>
          <w:lang w:val="fr"/>
        </w:rPr>
        <w:t>Introduction des codes 2D</w:t>
      </w:r>
    </w:p>
    <w:p w14:paraId="797647F1" w14:textId="77777777" w:rsidR="00B30060" w:rsidRPr="00225E7A" w:rsidRDefault="00B30060" w:rsidP="00B30060">
      <w:pPr>
        <w:rPr>
          <w:rFonts w:ascii="Noto Sans" w:hAnsi="Noto Sans" w:cs="Noto Sans"/>
          <w:sz w:val="22"/>
          <w:lang w:val="es-ES"/>
        </w:rPr>
      </w:pPr>
      <w:r>
        <w:rPr>
          <w:rFonts w:ascii="Noto Sans" w:hAnsi="Noto Sans" w:cs="Noto Sans"/>
          <w:sz w:val="22"/>
          <w:lang w:val="fr"/>
        </w:rPr>
        <w:t>L'inefficacité de la gestion des ressources, principalement due à la dépendance à l'égard des processus manuels susmentionnés et de la documentation sur papier, est un facteur important d'erreurs sur les chantiers de construction. Confrontées à des données incomplètes, incohérentes ou inexistantes sur les matériaux sur le chantier ou tout au long de la chaîne d'approvisionnement, les entreprises de construction n'ont aucune idée de la manière dont les matériaux sont utilisés, des excédents ou des déficits auxquels elles pourraient être confrontées, et de la quantité de déchets générés.</w:t>
      </w:r>
    </w:p>
    <w:p w14:paraId="49B2D4F9"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En effet, </w:t>
      </w:r>
      <w:hyperlink r:id="rId11" w:tgtFrame="_blank" w:history="1">
        <w:r>
          <w:rPr>
            <w:rStyle w:val="Hyperlink"/>
            <w:rFonts w:ascii="Noto Sans" w:hAnsi="Noto Sans" w:cs="Noto Sans"/>
            <w:sz w:val="22"/>
            <w:lang w:val="fr"/>
          </w:rPr>
          <w:t>Get It Right Initiative</w:t>
        </w:r>
      </w:hyperlink>
      <w:r>
        <w:rPr>
          <w:rFonts w:ascii="Noto Sans" w:hAnsi="Noto Sans" w:cs="Noto Sans"/>
          <w:sz w:val="22"/>
          <w:lang w:val="fr"/>
        </w:rPr>
        <w:t xml:space="preserve">, basé au Royaume-Uni, estime que le coût direct des erreurs de construction au Royaume-Uni pourrait représenter entre 5 % et 25 % du coût total des projets de construction, soit entre 5 et 25 milliards de GBP par an. </w:t>
      </w:r>
    </w:p>
    <w:p w14:paraId="6CA12800" w14:textId="77777777" w:rsidR="00B30060" w:rsidRPr="00225E7A" w:rsidRDefault="00B30060" w:rsidP="00B30060">
      <w:pPr>
        <w:rPr>
          <w:rFonts w:ascii="Noto Sans" w:hAnsi="Noto Sans" w:cs="Noto Sans"/>
          <w:sz w:val="22"/>
          <w:lang w:val="es-ES"/>
        </w:rPr>
      </w:pPr>
      <w:r>
        <w:rPr>
          <w:rFonts w:ascii="Noto Sans" w:hAnsi="Noto Sans" w:cs="Noto Sans"/>
          <w:sz w:val="22"/>
          <w:lang w:val="fr"/>
        </w:rPr>
        <w:t xml:space="preserve">L'introduction de codes 2D tels que les QR codes augmentés GS1 sur les palettes, les paquets et les produits de construction individuels pourrait aider les professionnels de la construction, y compris les constructeurs, les ingénieurs, les architectes et les </w:t>
      </w:r>
      <w:r>
        <w:rPr>
          <w:rFonts w:ascii="Noto Sans" w:hAnsi="Noto Sans" w:cs="Noto Sans"/>
          <w:sz w:val="22"/>
          <w:lang w:val="fr"/>
        </w:rPr>
        <w:lastRenderedPageBreak/>
        <w:t>responsables de chantiers, à gérer les ressources plus efficacement, à réduire les erreurs et le gaspillage, et à augmenter la productivité.</w:t>
      </w:r>
    </w:p>
    <w:p w14:paraId="7D887624" w14:textId="77777777" w:rsidR="00B30060" w:rsidRPr="000C05F4" w:rsidRDefault="00B30060" w:rsidP="00B30060">
      <w:pPr>
        <w:rPr>
          <w:rFonts w:ascii="Noto Sans" w:hAnsi="Noto Sans" w:cs="Noto Sans"/>
          <w:b/>
          <w:bCs/>
          <w:sz w:val="22"/>
        </w:rPr>
      </w:pPr>
      <w:r>
        <w:rPr>
          <w:rFonts w:ascii="Noto Sans" w:hAnsi="Noto Sans" w:cs="Noto Sans"/>
          <w:b/>
          <w:bCs/>
          <w:sz w:val="22"/>
          <w:lang w:val="fr"/>
        </w:rPr>
        <w:t xml:space="preserve">Codes 2D GS1 dans le bâtiment et la construction </w:t>
      </w:r>
    </w:p>
    <w:p w14:paraId="772943E0" w14:textId="77777777" w:rsidR="00B30060" w:rsidRPr="00225E7A" w:rsidRDefault="00B30060" w:rsidP="00B30060">
      <w:pPr>
        <w:rPr>
          <w:rFonts w:ascii="Noto Sans" w:eastAsia="Segoe UI" w:hAnsi="Noto Sans" w:cs="Noto Sans"/>
          <w:color w:val="323130"/>
          <w:sz w:val="22"/>
          <w:lang w:val="fr"/>
        </w:rPr>
      </w:pPr>
      <w:r>
        <w:rPr>
          <w:rFonts w:ascii="Noto Sans" w:hAnsi="Noto Sans" w:cs="Noto Sans"/>
          <w:sz w:val="22"/>
          <w:lang w:val="fr"/>
        </w:rPr>
        <w:t xml:space="preserve">Les codes 2D augmentés GS1 </w:t>
      </w:r>
      <w:r>
        <w:rPr>
          <w:rFonts w:ascii="Noto Sans" w:hAnsi="Noto Sans" w:cs="Noto Sans"/>
          <w:color w:val="323130"/>
          <w:sz w:val="22"/>
          <w:lang w:val="fr"/>
        </w:rPr>
        <w:t>permettent d'identifier les produits à l'aide d'identifiants universels, tels que le Global Trade Item Number (GTIN). Ainsi, toutes les parties prenantes d'un projet peuvent accéder à des informations cohérentes et précises sur les produits, fournies directement par le fabricant.</w:t>
      </w:r>
    </w:p>
    <w:p w14:paraId="051DF1DF" w14:textId="77777777" w:rsidR="00B30060" w:rsidRPr="00225E7A" w:rsidRDefault="00B30060" w:rsidP="00B30060">
      <w:pPr>
        <w:rPr>
          <w:rFonts w:ascii="Noto Sans" w:hAnsi="Noto Sans" w:cs="Noto Sans"/>
          <w:sz w:val="22"/>
          <w:lang w:val="fr"/>
        </w:rPr>
      </w:pPr>
      <w:r>
        <w:rPr>
          <w:rFonts w:ascii="Noto Sans" w:hAnsi="Noto Sans" w:cs="Noto Sans"/>
          <w:sz w:val="22"/>
          <w:lang w:val="fr"/>
        </w:rPr>
        <w:t>Au niveau le plus basique, scanner un code 2D GS1</w:t>
      </w:r>
      <w:r>
        <w:rPr>
          <w:rFonts w:ascii="Noto Sans" w:hAnsi="Noto Sans" w:cs="Noto Sans"/>
          <w:i/>
          <w:iCs/>
          <w:sz w:val="22"/>
          <w:lang w:val="fr"/>
        </w:rPr>
        <w:t xml:space="preserve"> </w:t>
      </w:r>
      <w:r>
        <w:rPr>
          <w:rFonts w:ascii="Noto Sans" w:hAnsi="Noto Sans" w:cs="Noto Sans"/>
          <w:sz w:val="22"/>
          <w:lang w:val="fr"/>
        </w:rPr>
        <w:t xml:space="preserve">sur des palettes, des paquets ou des éléments individuels peut aider à garantir que le bon produit est livré et accepté sur site, réduisant ainsi le risque d'erreurs et améliorant l'efficacité opérationnelle. Parallèlement, cela facilite le retour immédiat des articles incorrects au fournisseur initial, ce qui permet de réduire les déchets et de résoudre les problèmes d'approvisionnement avant qu'ils n'affectent négativement les délais d'un projet. </w:t>
      </w:r>
      <w:r>
        <w:rPr>
          <w:rFonts w:ascii="Noto Sans" w:hAnsi="Noto Sans" w:cs="Noto Sans"/>
          <w:color w:val="323130"/>
          <w:sz w:val="22"/>
          <w:lang w:val="fr"/>
        </w:rPr>
        <w:t xml:space="preserve">L'ajout de codes 2D peut également aider les employés à accéder à des détails essentiels, notamment les spécifications des produits et les exigences de stockage, sans s'appuyer sur une documentation papier, réduisant ainsi le gaspillage. </w:t>
      </w:r>
    </w:p>
    <w:p w14:paraId="68D4B779" w14:textId="77777777" w:rsidR="00B30060" w:rsidRPr="00225E7A" w:rsidRDefault="00B30060" w:rsidP="00B30060">
      <w:pPr>
        <w:rPr>
          <w:rFonts w:ascii="Noto Sans" w:hAnsi="Noto Sans" w:cs="Noto Sans"/>
          <w:sz w:val="22"/>
          <w:lang w:val="fr"/>
        </w:rPr>
      </w:pPr>
      <w:r>
        <w:rPr>
          <w:rFonts w:ascii="Noto Sans" w:hAnsi="Noto Sans" w:cs="Noto Sans"/>
          <w:color w:val="323130"/>
          <w:sz w:val="22"/>
          <w:lang w:val="fr"/>
        </w:rPr>
        <w:t xml:space="preserve">Enfin, les chefs de projet peuvent intégrer des données de </w:t>
      </w:r>
      <w:r>
        <w:rPr>
          <w:rFonts w:ascii="Noto Sans" w:hAnsi="Noto Sans" w:cs="Noto Sans"/>
          <w:sz w:val="22"/>
          <w:lang w:val="fr"/>
        </w:rPr>
        <w:t>codes 2D GS1</w:t>
      </w:r>
      <w:r>
        <w:rPr>
          <w:rFonts w:ascii="Noto Sans" w:hAnsi="Noto Sans" w:cs="Noto Sans"/>
          <w:i/>
          <w:iCs/>
          <w:sz w:val="22"/>
          <w:lang w:val="fr"/>
        </w:rPr>
        <w:t xml:space="preserve"> </w:t>
      </w:r>
      <w:r>
        <w:rPr>
          <w:rFonts w:ascii="Noto Sans" w:hAnsi="Noto Sans" w:cs="Noto Sans"/>
          <w:color w:val="323130"/>
          <w:sz w:val="22"/>
          <w:lang w:val="fr"/>
        </w:rPr>
        <w:t>dans le BIM (Building Information Model ou Modélisation des informations du bâtiment) d'un projet, une représentation numérique d'un projet. Les employés équipés d'appareils mobiles peuvent scanner les codes associés aux matériaux de construction et s'assurer que les spécifications du produit correspondent à celles incluses dans le BIM</w:t>
      </w:r>
      <w:r>
        <w:rPr>
          <w:rFonts w:ascii="Noto Sans" w:hAnsi="Noto Sans" w:cs="Noto Sans"/>
          <w:sz w:val="22"/>
          <w:lang w:val="fr"/>
        </w:rPr>
        <w:t xml:space="preserve"> plutôt que de se fier uniquement à l'identification manuelle. </w:t>
      </w:r>
    </w:p>
    <w:p w14:paraId="438F9764" w14:textId="77777777" w:rsidR="00B30060" w:rsidRPr="00225E7A" w:rsidRDefault="00B30060" w:rsidP="00B30060">
      <w:pPr>
        <w:rPr>
          <w:rFonts w:ascii="Noto Sans" w:eastAsia="Segoe UI" w:hAnsi="Noto Sans" w:cs="Noto Sans"/>
          <w:color w:val="323130"/>
          <w:sz w:val="22"/>
          <w:lang w:val="es-ES"/>
        </w:rPr>
      </w:pPr>
      <w:r>
        <w:rPr>
          <w:rFonts w:ascii="Noto Sans" w:hAnsi="Noto Sans" w:cs="Noto Sans"/>
          <w:sz w:val="22"/>
          <w:lang w:val="fr"/>
        </w:rPr>
        <w:t xml:space="preserve">La vérification instantanée des produits à l'aide du BIM peut être bénéfique lorsqu'il s'agit de matériaux ayant des utilisations similaires mais </w:t>
      </w:r>
      <w:r>
        <w:rPr>
          <w:rFonts w:ascii="Noto Sans" w:hAnsi="Noto Sans" w:cs="Noto Sans"/>
          <w:color w:val="323130"/>
          <w:sz w:val="22"/>
          <w:lang w:val="fr"/>
        </w:rPr>
        <w:t xml:space="preserve">des calibres différents, par exemple des épaisseurs différentes de plaques de plâtre ignifuges. L'employé peut rapidement vérifier que le bon produit est utilisé, ce qui minimise le risque d'erreurs et de reprises ultérieures. </w:t>
      </w:r>
    </w:p>
    <w:p w14:paraId="76AFA985" w14:textId="77777777" w:rsidR="00B30060" w:rsidRPr="00225E7A" w:rsidRDefault="00B30060" w:rsidP="00B30060">
      <w:pPr>
        <w:rPr>
          <w:rFonts w:ascii="Noto Sans" w:hAnsi="Noto Sans" w:cs="Noto Sans"/>
          <w:color w:val="FF0000"/>
          <w:sz w:val="22"/>
          <w:lang w:val="es-ES"/>
        </w:rPr>
      </w:pPr>
      <w:r>
        <w:rPr>
          <w:rFonts w:ascii="Noto Sans" w:hAnsi="Noto Sans" w:cs="Noto Sans"/>
          <w:sz w:val="22"/>
          <w:lang w:val="fr"/>
        </w:rPr>
        <w:lastRenderedPageBreak/>
        <w:t xml:space="preserve">À l'avenir, les QR codes augmentés GS1 s'avéreront essentiels pour aider les entreprises à naviguer dans les réglementations et obligations de conformité existantes, nouvelles et à venir liées à la sécurité des bâtiments et à la durabilité des projets, notamment : </w:t>
      </w:r>
    </w:p>
    <w:p w14:paraId="4C075D7C" w14:textId="77777777" w:rsidR="00B30060" w:rsidRPr="000C05F4" w:rsidRDefault="00B30060" w:rsidP="00B30060">
      <w:pPr>
        <w:pStyle w:val="ListParagraph"/>
        <w:numPr>
          <w:ilvl w:val="0"/>
          <w:numId w:val="1"/>
        </w:numPr>
        <w:rPr>
          <w:rFonts w:ascii="Noto Sans" w:hAnsi="Noto Sans" w:cs="Noto Sans"/>
          <w:sz w:val="22"/>
          <w:szCs w:val="22"/>
        </w:rPr>
      </w:pPr>
      <w:r>
        <w:rPr>
          <w:rFonts w:ascii="Noto Sans" w:hAnsi="Noto Sans" w:cs="Noto Sans"/>
          <w:sz w:val="22"/>
          <w:szCs w:val="22"/>
          <w:lang w:val="fr"/>
        </w:rPr>
        <w:t>Le « Golden Thread » britannique des données pour les bâtiments à risque plus élevé</w:t>
      </w:r>
    </w:p>
    <w:p w14:paraId="519A35CA" w14:textId="77777777" w:rsidR="00B30060" w:rsidRPr="00225E7A" w:rsidRDefault="00B30060" w:rsidP="00B30060">
      <w:pPr>
        <w:pStyle w:val="ListParagraph"/>
        <w:numPr>
          <w:ilvl w:val="0"/>
          <w:numId w:val="1"/>
        </w:numPr>
        <w:rPr>
          <w:rFonts w:ascii="Noto Sans" w:hAnsi="Noto Sans" w:cs="Noto Sans"/>
          <w:sz w:val="22"/>
          <w:szCs w:val="22"/>
          <w:lang w:val="es-ES"/>
        </w:rPr>
      </w:pPr>
      <w:r>
        <w:rPr>
          <w:rFonts w:ascii="Noto Sans" w:hAnsi="Noto Sans" w:cs="Noto Sans"/>
          <w:sz w:val="22"/>
          <w:szCs w:val="22"/>
          <w:lang w:val="fr"/>
        </w:rPr>
        <w:t>Les actes harmonisés de l'UE pour les produits de construction et la réglementation sur les produits de construction de l'UE</w:t>
      </w:r>
    </w:p>
    <w:p w14:paraId="240E54C3" w14:textId="77777777" w:rsidR="00B30060" w:rsidRPr="000C05F4" w:rsidRDefault="00B30060" w:rsidP="00B30060">
      <w:pPr>
        <w:pStyle w:val="ListParagraph"/>
        <w:numPr>
          <w:ilvl w:val="0"/>
          <w:numId w:val="1"/>
        </w:numPr>
        <w:rPr>
          <w:rFonts w:ascii="Noto Sans" w:eastAsia="Segoe UI" w:hAnsi="Noto Sans" w:cs="Noto Sans"/>
          <w:color w:val="323130"/>
          <w:sz w:val="22"/>
          <w:szCs w:val="22"/>
        </w:rPr>
      </w:pPr>
      <w:r>
        <w:rPr>
          <w:rFonts w:ascii="Noto Sans" w:hAnsi="Noto Sans" w:cs="Noto Sans"/>
          <w:sz w:val="22"/>
          <w:szCs w:val="22"/>
          <w:lang w:val="fr"/>
        </w:rPr>
        <w:t xml:space="preserve">ISO 19650 relative à la qualité des données des projets de construction </w:t>
      </w:r>
    </w:p>
    <w:p w14:paraId="54D6702A" w14:textId="77777777" w:rsidR="00B30060" w:rsidRPr="000C05F4" w:rsidRDefault="00B30060" w:rsidP="00B30060">
      <w:pPr>
        <w:rPr>
          <w:rFonts w:ascii="Noto Sans" w:eastAsia="Segoe UI" w:hAnsi="Noto Sans" w:cs="Noto Sans"/>
          <w:b/>
          <w:bCs/>
          <w:color w:val="323130"/>
          <w:sz w:val="22"/>
        </w:rPr>
      </w:pPr>
      <w:r>
        <w:rPr>
          <w:rFonts w:ascii="Noto Sans" w:eastAsia="Segoe UI" w:hAnsi="Noto Sans" w:cs="Noto Sans"/>
          <w:b/>
          <w:bCs/>
          <w:color w:val="323130"/>
          <w:sz w:val="22"/>
          <w:lang w:val="fr"/>
        </w:rPr>
        <w:t>Préparer l'avenir</w:t>
      </w:r>
    </w:p>
    <w:p w14:paraId="4199E55B" w14:textId="77777777" w:rsidR="00B30060" w:rsidRDefault="00B30060" w:rsidP="00B30060">
      <w:pPr>
        <w:rPr>
          <w:rFonts w:ascii="Noto Sans" w:eastAsia="Segoe UI" w:hAnsi="Noto Sans" w:cs="Noto Sans"/>
          <w:color w:val="323130"/>
          <w:sz w:val="22"/>
        </w:rPr>
      </w:pPr>
      <w:r>
        <w:rPr>
          <w:rFonts w:ascii="Noto Sans" w:hAnsi="Noto Sans" w:cs="Noto Sans"/>
          <w:color w:val="323130"/>
          <w:sz w:val="22"/>
          <w:lang w:val="fr"/>
        </w:rPr>
        <w:t xml:space="preserve">L'ajout de </w:t>
      </w:r>
      <w:r>
        <w:rPr>
          <w:rFonts w:ascii="Noto Sans" w:hAnsi="Noto Sans" w:cs="Noto Sans"/>
          <w:sz w:val="22"/>
          <w:lang w:val="fr"/>
        </w:rPr>
        <w:t xml:space="preserve">codes 2D augmentés GS1 </w:t>
      </w:r>
      <w:r>
        <w:rPr>
          <w:rFonts w:ascii="Noto Sans" w:hAnsi="Noto Sans" w:cs="Noto Sans"/>
          <w:color w:val="323130"/>
          <w:sz w:val="22"/>
          <w:lang w:val="fr"/>
        </w:rPr>
        <w:t>sur les matériaux de construction n'est pas une voie automatique vers le succès. Cependant, comme les codes et identifiants GS1 sont faciles à utiliser une fois déployés et universellement compris, leur impact initial sur la productivité, la réduction des déchets et la production d'un projet jettera les bases d'une application plus large et d'efforts de numérisation à l'avenir.</w:t>
      </w:r>
    </w:p>
    <w:p w14:paraId="4800B5B1" w14:textId="77777777" w:rsidR="00B30060" w:rsidRPr="00225E7A" w:rsidRDefault="00B30060" w:rsidP="00B30060">
      <w:pPr>
        <w:rPr>
          <w:rFonts w:ascii="Noto Sans" w:eastAsia="Segoe UI" w:hAnsi="Noto Sans" w:cs="Noto Sans"/>
          <w:color w:val="323130"/>
          <w:sz w:val="22"/>
          <w:lang w:val="es-ES"/>
        </w:rPr>
      </w:pPr>
      <w:r>
        <w:rPr>
          <w:rFonts w:ascii="Noto Sans" w:eastAsia="Segoe UI" w:hAnsi="Noto Sans" w:cs="Noto Sans"/>
          <w:color w:val="323130"/>
          <w:sz w:val="22"/>
          <w:lang w:val="fr"/>
        </w:rPr>
        <w:t xml:space="preserve">Au fil du temps, la présence de la technologie sur les matériaux de construction aidera le secteur à atteindre des niveaux beaucoup plus élevés d'interopérabilité et de partage des données entre les entreprises, le long des chaînes d'approvisionnement, entre les régulateurs et au-delà des frontières. </w:t>
      </w:r>
    </w:p>
    <w:p w14:paraId="5E4714C6" w14:textId="77777777" w:rsidR="00B30060" w:rsidRPr="00225E7A" w:rsidRDefault="00B30060" w:rsidP="00B30060">
      <w:pPr>
        <w:rPr>
          <w:rFonts w:ascii="Noto Sans" w:hAnsi="Noto Sans" w:cs="Noto Sans"/>
          <w:sz w:val="22"/>
          <w:lang w:val="es-ES"/>
        </w:rPr>
      </w:pPr>
      <w:r>
        <w:rPr>
          <w:rFonts w:ascii="Noto Sans" w:eastAsia="Segoe UI" w:hAnsi="Noto Sans" w:cs="Noto Sans"/>
          <w:color w:val="323130"/>
          <w:sz w:val="22"/>
          <w:lang w:val="fr"/>
        </w:rPr>
        <w:t xml:space="preserve">En intégrant des informations sur les produits dans des codes 2D pouvant être scannés, les fabricants de matériaux de construction peuvent soutenir cette démarche, relever les défis et la complexité, et aider le secteur à naviguer avec succès dans la dynamique du marché mondial. </w:t>
      </w:r>
    </w:p>
    <w:p w14:paraId="150CD1E1" w14:textId="77777777" w:rsidR="00225E7A" w:rsidRDefault="00225E7A" w:rsidP="00B30060">
      <w:pPr>
        <w:rPr>
          <w:rFonts w:ascii="Noto Sans" w:eastAsia="Segoe UI" w:hAnsi="Noto Sans" w:cs="Noto Sans"/>
          <w:color w:val="323130"/>
          <w:sz w:val="22"/>
          <w:lang w:val="fr"/>
        </w:rPr>
      </w:pPr>
    </w:p>
    <w:p w14:paraId="67F4E916" w14:textId="6C265160" w:rsidR="00B30060" w:rsidRPr="00225E7A" w:rsidRDefault="00B30060" w:rsidP="00B30060">
      <w:pPr>
        <w:rPr>
          <w:rFonts w:ascii="Noto Sans" w:eastAsia="Segoe UI" w:hAnsi="Noto Sans" w:cs="Noto Sans"/>
          <w:color w:val="323130"/>
          <w:sz w:val="22"/>
          <w:lang w:val="es-ES"/>
        </w:rPr>
      </w:pPr>
      <w:r>
        <w:rPr>
          <w:rFonts w:ascii="Noto Sans" w:eastAsia="Segoe UI" w:hAnsi="Noto Sans" w:cs="Noto Sans"/>
          <w:color w:val="323130"/>
          <w:sz w:val="22"/>
          <w:lang w:val="fr"/>
        </w:rPr>
        <w:t>&lt;</w:t>
      </w:r>
      <w:r w:rsidRPr="00225E7A">
        <w:rPr>
          <w:rFonts w:ascii="Noto Sans" w:eastAsia="Segoe UI" w:hAnsi="Noto Sans" w:cs="Noto Sans"/>
          <w:b/>
          <w:bCs/>
          <w:color w:val="323130"/>
          <w:sz w:val="22"/>
          <w:lang w:val="fr"/>
        </w:rPr>
        <w:t>FIN</w:t>
      </w:r>
      <w:r>
        <w:rPr>
          <w:rFonts w:ascii="Noto Sans" w:eastAsia="Segoe UI" w:hAnsi="Noto Sans" w:cs="Noto Sans"/>
          <w:color w:val="323130"/>
          <w:sz w:val="22"/>
          <w:lang w:val="fr"/>
        </w:rPr>
        <w:t>&gt;</w:t>
      </w:r>
    </w:p>
    <w:p w14:paraId="2CA5B53B" w14:textId="77777777" w:rsidR="00225E7A" w:rsidRDefault="00225E7A" w:rsidP="00C44603">
      <w:pPr>
        <w:rPr>
          <w:rFonts w:ascii="Noto Sans" w:eastAsia="Gill Sans" w:hAnsi="Noto Sans" w:cs="Noto Sans"/>
          <w:b/>
          <w:bCs/>
          <w:sz w:val="20"/>
          <w:szCs w:val="20"/>
          <w:lang w:val="fr-FR"/>
        </w:rPr>
      </w:pPr>
      <w:bookmarkStart w:id="0" w:name="_Hlk46133219"/>
    </w:p>
    <w:p w14:paraId="53EB7C38" w14:textId="3782B6A5" w:rsidR="005524DB" w:rsidRPr="00225E7A" w:rsidRDefault="00225E7A" w:rsidP="00C44603">
      <w:pPr>
        <w:rPr>
          <w:lang w:val="fr-FR"/>
        </w:rPr>
      </w:pPr>
      <w:r w:rsidRPr="00E06028">
        <w:rPr>
          <w:rFonts w:ascii="Noto Sans" w:eastAsia="Gill Sans" w:hAnsi="Noto Sans" w:cs="Noto Sans"/>
          <w:b/>
          <w:bCs/>
          <w:sz w:val="20"/>
          <w:szCs w:val="20"/>
          <w:lang w:val="fr-FR"/>
        </w:rPr>
        <w:t>Avis de non-responsabilité</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hAnsi="Noto Sans" w:cs="Noto Sans"/>
          <w:b/>
          <w:bCs/>
          <w:sz w:val="20"/>
          <w:szCs w:val="20"/>
          <w:lang w:val="fr-FR"/>
        </w:rPr>
        <w:t>Encres</w:t>
      </w:r>
      <w:r w:rsidRPr="00E06028">
        <w:rPr>
          <w:rFonts w:ascii="Noto Sans" w:hAnsi="Noto Sans" w:cs="Noto Sans"/>
          <w:sz w:val="20"/>
          <w:szCs w:val="20"/>
          <w:lang w:val="es-ES"/>
        </w:rPr>
        <w:br/>
      </w:r>
      <w:r w:rsidRPr="00E06028">
        <w:rPr>
          <w:rFonts w:ascii="Noto Sans" w:hAnsi="Noto Sans" w:cs="Noto Sans"/>
          <w:sz w:val="20"/>
          <w:szCs w:val="20"/>
          <w:lang w:val="fr-FR"/>
        </w:rPr>
        <w:lastRenderedPageBreak/>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E06028">
        <w:rPr>
          <w:rFonts w:ascii="Noto Sans" w:hAnsi="Noto Sans" w:cs="Noto Sans"/>
          <w:sz w:val="20"/>
          <w:szCs w:val="20"/>
          <w:lang w:val="es-ES"/>
        </w:rPr>
        <w:br/>
      </w:r>
      <w:r w:rsidRPr="00E06028">
        <w:rPr>
          <w:rFonts w:ascii="Noto Sans" w:hAnsi="Noto Sans" w:cs="Noto Sans"/>
          <w:sz w:val="20"/>
          <w:szCs w:val="20"/>
          <w:lang w:val="es-ES"/>
        </w:rPr>
        <w:br/>
      </w:r>
      <w:r w:rsidRPr="00E06028">
        <w:rPr>
          <w:rFonts w:ascii="Noto Sans" w:hAnsi="Noto Sans" w:cs="Noto Sans"/>
          <w:b/>
          <w:bCs/>
          <w:sz w:val="20"/>
          <w:szCs w:val="20"/>
          <w:lang w:val="fr-FR"/>
        </w:rPr>
        <w:t>Généralités</w:t>
      </w:r>
      <w:r w:rsidRPr="00E06028">
        <w:rPr>
          <w:rFonts w:ascii="Noto Sans" w:hAnsi="Noto Sans" w:cs="Noto Sans"/>
          <w:sz w:val="20"/>
          <w:szCs w:val="20"/>
          <w:lang w:val="es-ES"/>
        </w:rPr>
        <w:br/>
      </w:r>
      <w:r w:rsidRPr="001D71EE">
        <w:rPr>
          <w:rFonts w:ascii="Noto Sans" w:hAnsi="Noto Sans" w:cs="Noto Sans"/>
          <w:sz w:val="20"/>
          <w:szCs w:val="20"/>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Pr="00E06028">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Images</w:t>
      </w:r>
      <w:r w:rsidRPr="00E06028">
        <w:rPr>
          <w:rFonts w:ascii="Noto Sans" w:hAnsi="Noto Sans" w:cs="Noto Sans"/>
          <w:sz w:val="20"/>
          <w:szCs w:val="20"/>
        </w:rPr>
        <w:br/>
      </w:r>
      <w:r w:rsidRPr="00E06028">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Vidéos</w:t>
      </w:r>
      <w:r w:rsidRPr="00E06028">
        <w:rPr>
          <w:rFonts w:ascii="Noto Sans" w:hAnsi="Noto Sans" w:cs="Noto Sans"/>
          <w:sz w:val="20"/>
          <w:szCs w:val="20"/>
        </w:rPr>
        <w:br/>
      </w:r>
      <w:r w:rsidRPr="00E06028">
        <w:rPr>
          <w:rFonts w:ascii="Noto Sans" w:hAnsi="Noto Sans" w:cs="Noto Sans"/>
          <w:sz w:val="20"/>
          <w:szCs w:val="20"/>
          <w:lang w:val="fr-FR"/>
        </w:rPr>
        <w:t xml:space="preserve">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w:t>
      </w:r>
      <w:r w:rsidRPr="00E06028">
        <w:rPr>
          <w:rFonts w:ascii="Noto Sans" w:hAnsi="Noto Sans" w:cs="Noto Sans"/>
          <w:sz w:val="20"/>
          <w:szCs w:val="20"/>
          <w:lang w:val="fr-FR"/>
        </w:rPr>
        <w:lastRenderedPageBreak/>
        <w:t>faire partie d'un contrat entre vous et Domino.</w:t>
      </w:r>
      <w:r w:rsidRPr="00E06028">
        <w:rPr>
          <w:rFonts w:ascii="Noto Sans" w:hAnsi="Noto Sans" w:cs="Noto Sans"/>
          <w:sz w:val="20"/>
          <w:szCs w:val="20"/>
          <w:lang w:val="es-ES"/>
        </w:rPr>
        <w:br/>
      </w:r>
      <w:r w:rsidRPr="00E06028">
        <w:rPr>
          <w:rFonts w:ascii="Noto Sans" w:eastAsia="Gill Sans" w:hAnsi="Noto Sans" w:cs="Noto Sans"/>
          <w:sz w:val="20"/>
          <w:szCs w:val="20"/>
          <w:lang w:val="es-ES"/>
        </w:rPr>
        <w:br/>
      </w:r>
      <w:bookmarkStart w:id="1" w:name="_Hlk61949672"/>
      <w:r w:rsidRPr="00E06028">
        <w:rPr>
          <w:rFonts w:ascii="Noto Sans" w:eastAsia="Gill Sans" w:hAnsi="Noto Sans" w:cs="Noto Sans"/>
          <w:b/>
          <w:sz w:val="20"/>
          <w:szCs w:val="20"/>
          <w:lang w:val="es-ES"/>
        </w:rPr>
        <w:br/>
      </w:r>
      <w:r w:rsidRPr="00E06028">
        <w:rPr>
          <w:rFonts w:ascii="Noto Sans" w:eastAsia="Gill Sans" w:hAnsi="Noto Sans" w:cs="Noto Sans"/>
          <w:b/>
          <w:bCs/>
          <w:sz w:val="20"/>
          <w:szCs w:val="20"/>
          <w:lang w:val="fr-FR"/>
        </w:rPr>
        <w:t>Notes à l'attention des rédacteurs :</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b/>
          <w:bCs/>
          <w:sz w:val="20"/>
          <w:szCs w:val="20"/>
          <w:lang w:val="fr-FR"/>
        </w:rPr>
        <w:t>À propos de Domino</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sz w:val="20"/>
          <w:szCs w:val="20"/>
          <w:lang w:val="fr-FR"/>
        </w:rPr>
        <w:t xml:space="preserve">Fondée en 1978, Domino Printing Sciences (Domino) a acquis une réputation mondiale pour le 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thermique conçus pour l'application de données variables, de codes à barres et de codes de traçabilité uniques sur les produits et les emballages.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Depuis le 11 juin 2015, Domino est une division autonome de Brother Industries Ltd.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Pour plus d'informations sur Domino, veuillez consulter </w:t>
      </w:r>
      <w:hyperlink r:id="rId12" w:history="1">
        <w:r w:rsidRPr="00E06028">
          <w:rPr>
            <w:rStyle w:val="Hyperlink"/>
            <w:rFonts w:ascii="Noto Sans" w:eastAsia="Gill Sans" w:hAnsi="Noto Sans" w:cs="Noto Sans"/>
            <w:sz w:val="20"/>
            <w:szCs w:val="20"/>
            <w:lang w:val="fr-FR"/>
          </w:rPr>
          <w:t>www.domino-printing.com</w:t>
        </w:r>
      </w:hyperlink>
      <w:r w:rsidRPr="00E06028">
        <w:rPr>
          <w:rFonts w:ascii="Noto Sans" w:eastAsia="Gill Sans" w:hAnsi="Noto Sans" w:cs="Noto Sans"/>
          <w:sz w:val="20"/>
          <w:szCs w:val="20"/>
          <w:lang w:val="fr-FR"/>
        </w:rPr>
        <w:t xml:space="preserve">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b/>
          <w:bCs/>
          <w:sz w:val="20"/>
          <w:szCs w:val="20"/>
          <w:lang w:val="fr-FR"/>
        </w:rPr>
        <w:t>Pour de plus amples renseignements, veuillez contacter :</w:t>
      </w:r>
      <w:r w:rsidRPr="00E06028">
        <w:rPr>
          <w:rFonts w:ascii="Noto Sans" w:eastAsia="Gill Sans" w:hAnsi="Noto Sans" w:cs="Noto Sans"/>
          <w:b/>
          <w:sz w:val="20"/>
          <w:szCs w:val="20"/>
          <w:lang w:val="fr-FR"/>
        </w:rPr>
        <w:br/>
      </w:r>
      <w:r w:rsidRPr="00E06028">
        <w:rPr>
          <w:rFonts w:ascii="Noto Sans" w:eastAsia="Gill Sans" w:hAnsi="Noto Sans" w:cs="Noto Sans"/>
          <w:b/>
          <w:sz w:val="20"/>
          <w:szCs w:val="20"/>
          <w:lang w:val="fr-FR"/>
        </w:rPr>
        <w:br/>
      </w:r>
      <w:r>
        <w:rPr>
          <w:rFonts w:ascii="Noto Sans" w:hAnsi="Noto Sans" w:cs="Noto Sans"/>
          <w:sz w:val="20"/>
          <w:szCs w:val="20"/>
          <w:lang w:val="nl"/>
        </w:rPr>
        <w:t>Alex Challinor</w:t>
      </w:r>
      <w:r w:rsidRPr="00E06028">
        <w:rPr>
          <w:rFonts w:ascii="Noto Sans" w:hAnsi="Noto Sans" w:cs="Noto Sans"/>
          <w:sz w:val="20"/>
          <w:szCs w:val="20"/>
          <w:lang w:val="fr-FR"/>
        </w:rPr>
        <w:br/>
      </w:r>
      <w:r w:rsidRPr="00E06028">
        <w:rPr>
          <w:rFonts w:ascii="Noto Sans" w:hAnsi="Noto Sans" w:cs="Noto Sans"/>
          <w:sz w:val="20"/>
          <w:szCs w:val="20"/>
          <w:lang w:val="fr-FR"/>
        </w:rPr>
        <w:lastRenderedPageBreak/>
        <w:t xml:space="preserve">Spécialiste en contenu rédactionnel </w:t>
      </w:r>
      <w:r w:rsidRPr="00E06028">
        <w:rPr>
          <w:rFonts w:ascii="Noto Sans" w:hAnsi="Noto Sans" w:cs="Noto Sans"/>
          <w:sz w:val="20"/>
          <w:szCs w:val="20"/>
          <w:lang w:val="fr-FR"/>
        </w:rPr>
        <w:br/>
        <w:t xml:space="preserve">Domino Printing Sciences </w:t>
      </w:r>
      <w:r w:rsidRPr="00E06028">
        <w:rPr>
          <w:rFonts w:ascii="Noto Sans" w:hAnsi="Noto Sans" w:cs="Noto Sans"/>
          <w:sz w:val="20"/>
          <w:szCs w:val="20"/>
          <w:lang w:val="fr-FR"/>
        </w:rPr>
        <w:br/>
        <w:t>Tél. : +44 (0) 1954 778780</w:t>
      </w:r>
      <w:r w:rsidRPr="00E06028">
        <w:rPr>
          <w:rFonts w:ascii="Noto Sans" w:hAnsi="Noto Sans" w:cs="Noto Sans"/>
          <w:sz w:val="20"/>
          <w:szCs w:val="20"/>
          <w:lang w:val="fr-FR"/>
        </w:rPr>
        <w:br/>
      </w:r>
      <w:hyperlink r:id="rId13" w:history="1">
        <w:r w:rsidRPr="00225E7A">
          <w:rPr>
            <w:rStyle w:val="Hyperlink"/>
            <w:rFonts w:ascii="Noto Sans" w:hAnsi="Noto Sans" w:cs="Noto Sans"/>
            <w:sz w:val="20"/>
            <w:szCs w:val="20"/>
            <w:lang w:val="fr-FR"/>
          </w:rPr>
          <w:t>Alex.Challinor@domino-uk.com</w:t>
        </w:r>
      </w:hyperlink>
      <w:r w:rsidRPr="00E06028">
        <w:rPr>
          <w:rFonts w:ascii="Noto Sans" w:eastAsia="Verdana" w:hAnsi="Noto Sans" w:cs="Noto Sans"/>
          <w:sz w:val="20"/>
          <w:szCs w:val="20"/>
          <w:lang w:val="fr-FR"/>
        </w:rPr>
        <w:br/>
      </w:r>
      <w:r w:rsidRPr="00E06028">
        <w:rPr>
          <w:rFonts w:ascii="Noto Sans" w:eastAsia="Verdana" w:hAnsi="Noto Sans" w:cs="Noto Sans"/>
          <w:sz w:val="20"/>
          <w:szCs w:val="20"/>
          <w:lang w:val="fr-FR"/>
        </w:rPr>
        <w:br/>
      </w:r>
      <w:bookmarkEnd w:id="0"/>
      <w:bookmarkEnd w:id="1"/>
      <w:r w:rsidRPr="00E06028">
        <w:rPr>
          <w:rFonts w:ascii="Noto Sans" w:hAnsi="Noto Sans" w:cs="Noto Sans"/>
          <w:sz w:val="20"/>
          <w:szCs w:val="20"/>
          <w:lang w:val="fr-FR"/>
        </w:rPr>
        <w:t>Delphine Baudesson</w:t>
      </w:r>
      <w:r w:rsidRPr="00E06028">
        <w:rPr>
          <w:rFonts w:ascii="Noto Sans" w:hAnsi="Noto Sans" w:cs="Noto Sans"/>
          <w:sz w:val="20"/>
          <w:szCs w:val="20"/>
          <w:lang w:val="fr-FR"/>
        </w:rPr>
        <w:br/>
        <w:t xml:space="preserve">Responsable du marketing </w:t>
      </w:r>
      <w:r w:rsidRPr="00E06028">
        <w:rPr>
          <w:rFonts w:ascii="Noto Sans" w:hAnsi="Noto Sans" w:cs="Noto Sans"/>
          <w:sz w:val="20"/>
          <w:szCs w:val="20"/>
          <w:lang w:val="fr-FR"/>
        </w:rPr>
        <w:br/>
        <w:t>Domino Printing Sciences France</w:t>
      </w:r>
      <w:r w:rsidRPr="00E06028">
        <w:rPr>
          <w:rFonts w:ascii="Noto Sans" w:hAnsi="Noto Sans" w:cs="Noto Sans"/>
          <w:sz w:val="20"/>
          <w:szCs w:val="20"/>
          <w:lang w:val="fr-FR"/>
        </w:rPr>
        <w:br/>
        <w:t>Tél. : +33 6 78 58 81 59</w:t>
      </w:r>
      <w:r w:rsidRPr="00E06028">
        <w:rPr>
          <w:rFonts w:ascii="Noto Sans" w:hAnsi="Noto Sans" w:cs="Noto Sans"/>
          <w:sz w:val="20"/>
          <w:szCs w:val="20"/>
          <w:lang w:val="fr-FR"/>
        </w:rPr>
        <w:br/>
      </w:r>
      <w:hyperlink r:id="rId14" w:history="1">
        <w:r w:rsidRPr="00E06028">
          <w:rPr>
            <w:rStyle w:val="Hyperlink"/>
            <w:rFonts w:ascii="Noto Sans" w:hAnsi="Noto Sans" w:cs="Noto Sans"/>
            <w:sz w:val="20"/>
            <w:szCs w:val="20"/>
            <w:lang w:val="fr-FR"/>
          </w:rPr>
          <w:t>delphine.baudesson@domino-marquage.com</w:t>
        </w:r>
      </w:hyperlink>
      <w:r w:rsidRPr="00E06028">
        <w:rPr>
          <w:rStyle w:val="Hyperlink"/>
          <w:rFonts w:ascii="Noto Sans" w:hAnsi="Noto Sans" w:cs="Noto Sans"/>
          <w:sz w:val="20"/>
          <w:szCs w:val="20"/>
          <w:lang w:val="fr-FR"/>
        </w:rPr>
        <w:br/>
      </w:r>
      <w:r w:rsidRPr="00E06028">
        <w:rPr>
          <w:rFonts w:ascii="Noto Sans" w:hAnsi="Noto Sans" w:cs="Noto Sans"/>
          <w:sz w:val="20"/>
          <w:szCs w:val="20"/>
          <w:lang w:val="fr-FR"/>
        </w:rPr>
        <w:br/>
      </w:r>
    </w:p>
    <w:sectPr w:rsidR="005524DB" w:rsidRPr="00225E7A"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15B" w14:textId="77777777" w:rsidR="009E564D" w:rsidRDefault="009E564D" w:rsidP="00785717">
      <w:pPr>
        <w:spacing w:line="240" w:lineRule="auto"/>
      </w:pPr>
      <w:r>
        <w:separator/>
      </w:r>
    </w:p>
  </w:endnote>
  <w:endnote w:type="continuationSeparator" w:id="0">
    <w:p w14:paraId="1486161E" w14:textId="77777777" w:rsidR="009E564D" w:rsidRDefault="009E564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F32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3E4" w14:textId="77777777" w:rsidR="00785717" w:rsidRDefault="000F6D00" w:rsidP="00785717">
    <w:pPr>
      <w:pStyle w:val="Footer"/>
    </w:pPr>
    <w:r>
      <w:rPr>
        <w:noProof/>
        <w:lang w:val="fr"/>
      </w:rPr>
      <w:drawing>
        <wp:anchor distT="0" distB="0" distL="114300" distR="114300" simplePos="0" relativeHeight="251659264" behindDoc="0" locked="0" layoutInCell="1" allowOverlap="1" wp14:anchorId="5F1A3A08" wp14:editId="0C311E3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0" behindDoc="1" locked="0" layoutInCell="1" allowOverlap="1" wp14:anchorId="536137F7" wp14:editId="53ACCE9A">
          <wp:simplePos x="0" y="0"/>
          <wp:positionH relativeFrom="page">
            <wp:posOffset>47625</wp:posOffset>
          </wp:positionH>
          <wp:positionV relativeFrom="page">
            <wp:posOffset>9247505</wp:posOffset>
          </wp:positionV>
          <wp:extent cx="7448550" cy="1259840"/>
          <wp:effectExtent l="0" t="0" r="0" b="0"/>
          <wp:wrapNone/>
          <wp:docPr id="1" name="Picture 1" descr="Une image contenant un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FA95"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F7D1" w14:textId="77777777" w:rsidR="009E564D" w:rsidRDefault="009E564D" w:rsidP="00785717">
      <w:pPr>
        <w:spacing w:line="240" w:lineRule="auto"/>
      </w:pPr>
      <w:r>
        <w:separator/>
      </w:r>
    </w:p>
  </w:footnote>
  <w:footnote w:type="continuationSeparator" w:id="0">
    <w:p w14:paraId="0DC7B38E" w14:textId="77777777" w:rsidR="009E564D" w:rsidRDefault="009E564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E0BA"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D583" w14:textId="77777777" w:rsidR="000F6D00" w:rsidRDefault="002766D9">
    <w:pPr>
      <w:pStyle w:val="Header"/>
    </w:pPr>
    <w:r>
      <w:rPr>
        <w:noProof/>
        <w:lang w:val="fr"/>
      </w:rPr>
      <w:drawing>
        <wp:anchor distT="0" distB="0" distL="114300" distR="114300" simplePos="0" relativeHeight="251661312" behindDoc="0" locked="0" layoutInCell="1" allowOverlap="1" wp14:anchorId="652D8042" wp14:editId="1D9E5B1D">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nom de l’entre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E02A"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63ED3"/>
    <w:multiLevelType w:val="hybridMultilevel"/>
    <w:tmpl w:val="C5FAA164"/>
    <w:lvl w:ilvl="0" w:tplc="8F8C5D5E">
      <w:start w:val="1"/>
      <w:numFmt w:val="bullet"/>
      <w:lvlText w:val=""/>
      <w:lvlJc w:val="left"/>
      <w:pPr>
        <w:ind w:left="720" w:hanging="360"/>
      </w:pPr>
      <w:rPr>
        <w:rFonts w:ascii="Symbol" w:hAnsi="Symbol" w:hint="default"/>
      </w:rPr>
    </w:lvl>
    <w:lvl w:ilvl="1" w:tplc="75524AC6" w:tentative="1">
      <w:start w:val="1"/>
      <w:numFmt w:val="bullet"/>
      <w:lvlText w:val="o"/>
      <w:lvlJc w:val="left"/>
      <w:pPr>
        <w:ind w:left="1440" w:hanging="360"/>
      </w:pPr>
      <w:rPr>
        <w:rFonts w:ascii="Courier New" w:hAnsi="Courier New" w:cs="Courier New" w:hint="default"/>
      </w:rPr>
    </w:lvl>
    <w:lvl w:ilvl="2" w:tplc="F4D8B74E" w:tentative="1">
      <w:start w:val="1"/>
      <w:numFmt w:val="bullet"/>
      <w:lvlText w:val=""/>
      <w:lvlJc w:val="left"/>
      <w:pPr>
        <w:ind w:left="2160" w:hanging="360"/>
      </w:pPr>
      <w:rPr>
        <w:rFonts w:ascii="Wingdings" w:hAnsi="Wingdings" w:hint="default"/>
      </w:rPr>
    </w:lvl>
    <w:lvl w:ilvl="3" w:tplc="9A727F7C" w:tentative="1">
      <w:start w:val="1"/>
      <w:numFmt w:val="bullet"/>
      <w:lvlText w:val=""/>
      <w:lvlJc w:val="left"/>
      <w:pPr>
        <w:ind w:left="2880" w:hanging="360"/>
      </w:pPr>
      <w:rPr>
        <w:rFonts w:ascii="Symbol" w:hAnsi="Symbol" w:hint="default"/>
      </w:rPr>
    </w:lvl>
    <w:lvl w:ilvl="4" w:tplc="3E0239B0" w:tentative="1">
      <w:start w:val="1"/>
      <w:numFmt w:val="bullet"/>
      <w:lvlText w:val="o"/>
      <w:lvlJc w:val="left"/>
      <w:pPr>
        <w:ind w:left="3600" w:hanging="360"/>
      </w:pPr>
      <w:rPr>
        <w:rFonts w:ascii="Courier New" w:hAnsi="Courier New" w:cs="Courier New" w:hint="default"/>
      </w:rPr>
    </w:lvl>
    <w:lvl w:ilvl="5" w:tplc="7C1A74FC" w:tentative="1">
      <w:start w:val="1"/>
      <w:numFmt w:val="bullet"/>
      <w:lvlText w:val=""/>
      <w:lvlJc w:val="left"/>
      <w:pPr>
        <w:ind w:left="4320" w:hanging="360"/>
      </w:pPr>
      <w:rPr>
        <w:rFonts w:ascii="Wingdings" w:hAnsi="Wingdings" w:hint="default"/>
      </w:rPr>
    </w:lvl>
    <w:lvl w:ilvl="6" w:tplc="4D3A34B4" w:tentative="1">
      <w:start w:val="1"/>
      <w:numFmt w:val="bullet"/>
      <w:lvlText w:val=""/>
      <w:lvlJc w:val="left"/>
      <w:pPr>
        <w:ind w:left="5040" w:hanging="360"/>
      </w:pPr>
      <w:rPr>
        <w:rFonts w:ascii="Symbol" w:hAnsi="Symbol" w:hint="default"/>
      </w:rPr>
    </w:lvl>
    <w:lvl w:ilvl="7" w:tplc="6BB2FA18" w:tentative="1">
      <w:start w:val="1"/>
      <w:numFmt w:val="bullet"/>
      <w:lvlText w:val="o"/>
      <w:lvlJc w:val="left"/>
      <w:pPr>
        <w:ind w:left="5760" w:hanging="360"/>
      </w:pPr>
      <w:rPr>
        <w:rFonts w:ascii="Courier New" w:hAnsi="Courier New" w:cs="Courier New" w:hint="default"/>
      </w:rPr>
    </w:lvl>
    <w:lvl w:ilvl="8" w:tplc="090A44EE" w:tentative="1">
      <w:start w:val="1"/>
      <w:numFmt w:val="bullet"/>
      <w:lvlText w:val=""/>
      <w:lvlJc w:val="left"/>
      <w:pPr>
        <w:ind w:left="6480" w:hanging="360"/>
      </w:pPr>
      <w:rPr>
        <w:rFonts w:ascii="Wingdings" w:hAnsi="Wingdings" w:hint="default"/>
      </w:rPr>
    </w:lvl>
  </w:abstractNum>
  <w:num w:numId="1" w16cid:durableId="80604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D"/>
    <w:rsid w:val="0002201E"/>
    <w:rsid w:val="000F6D00"/>
    <w:rsid w:val="00113106"/>
    <w:rsid w:val="001D743C"/>
    <w:rsid w:val="00225E7A"/>
    <w:rsid w:val="002766D9"/>
    <w:rsid w:val="002C3337"/>
    <w:rsid w:val="00372E92"/>
    <w:rsid w:val="00414680"/>
    <w:rsid w:val="005272B1"/>
    <w:rsid w:val="005524DB"/>
    <w:rsid w:val="005741C7"/>
    <w:rsid w:val="00647055"/>
    <w:rsid w:val="00660F46"/>
    <w:rsid w:val="00785717"/>
    <w:rsid w:val="008220B7"/>
    <w:rsid w:val="00823B77"/>
    <w:rsid w:val="008916A8"/>
    <w:rsid w:val="008B6461"/>
    <w:rsid w:val="008F3E38"/>
    <w:rsid w:val="00931996"/>
    <w:rsid w:val="009A1716"/>
    <w:rsid w:val="009A1DEC"/>
    <w:rsid w:val="009D6280"/>
    <w:rsid w:val="009E564D"/>
    <w:rsid w:val="00A34918"/>
    <w:rsid w:val="00A5225B"/>
    <w:rsid w:val="00AB11DA"/>
    <w:rsid w:val="00B23C3C"/>
    <w:rsid w:val="00B30060"/>
    <w:rsid w:val="00B546C5"/>
    <w:rsid w:val="00BC7C15"/>
    <w:rsid w:val="00C063FE"/>
    <w:rsid w:val="00C44603"/>
    <w:rsid w:val="00C541FE"/>
    <w:rsid w:val="00CF1AD5"/>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5E0C"/>
  <w15:chartTrackingRefBased/>
  <w15:docId w15:val="{C5FE791E-4976-45BD-8795-31D7E3D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ListParagraph">
    <w:name w:val="List Paragraph"/>
    <w:basedOn w:val="Normal"/>
    <w:uiPriority w:val="34"/>
    <w:qFormat/>
    <w:rsid w:val="00B30060"/>
    <w:pPr>
      <w:spacing w:after="160" w:line="278" w:lineRule="auto"/>
      <w:ind w:left="72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capabilities/operations/our-insights/delivering-on-construction-productivity-is-no-longer-optional" TargetMode="External"/><Relationship Id="rId13" Type="http://schemas.openxmlformats.org/officeDocument/2006/relationships/hyperlink" Target="mailto:Alex.Challinor@domino-uk.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ckinsey.com/capabilities/operations/our-insights/delivering-on-construction-productivity-is-no-longer-optional" TargetMode="External"/><Relationship Id="rId12" Type="http://schemas.openxmlformats.org/officeDocument/2006/relationships/hyperlink" Target="http://www.domino-printing.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itright.uk.com/reports/research-repo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ckinsey.com/capabilities/operations/our-insights/getting-business-process-outsourcing-right-in-a-digital-futur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ckinsey.com/capabilities/operations/our-insights/delivering-on-construction-productivity-is-no-longer-optional" TargetMode="External"/><Relationship Id="rId14" Type="http://schemas.openxmlformats.org/officeDocument/2006/relationships/hyperlink" Target="mailto:delphine.baudesson@domino-marquag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5</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2025-06-04T08:45:00Z</dcterms:created>
  <dcterms:modified xsi:type="dcterms:W3CDTF">2025-07-01T15:27:00Z</dcterms:modified>
</cp:coreProperties>
</file>