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69" w:lineRule="auto"/>
        <w:jc w:val="right"/>
        <w:rPr>
          <w:sz w:val="20"/>
          <w:szCs w:val="20"/>
        </w:rPr>
      </w:pPr>
      <w:r w:rsidDel="00000000" w:rsidR="00000000" w:rsidRPr="00000000">
        <w:rPr>
          <w:sz w:val="20"/>
          <w:szCs w:val="20"/>
          <w:rtl w:val="0"/>
        </w:rPr>
        <w:t xml:space="preserve">Piotrków Trybunalski, 21.07.2025</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Odbiór awizo w Warszawie to niekoniecznie dobrze nam znana placówka pocztowa. Warto sprawdzić od kogo dostaliśmy powiadomienie</w:t>
      </w:r>
    </w:p>
    <w:p w:rsidR="00000000" w:rsidDel="00000000" w:rsidP="00000000" w:rsidRDefault="00000000" w:rsidRPr="00000000" w14:paraId="00000004">
      <w:pPr>
        <w:jc w:val="both"/>
        <w:rPr>
          <w:b w:val="1"/>
        </w:rPr>
      </w:pPr>
      <w:r w:rsidDel="00000000" w:rsidR="00000000" w:rsidRPr="00000000">
        <w:rPr>
          <w:b w:val="1"/>
          <w:rtl w:val="0"/>
        </w:rPr>
        <w:t xml:space="preserve">Choć awizo nie jest tym, co najbardziej lubimy znajdować w skrzynce pocztowej, zdarza się, że pod naszą nieobecność listonosz zostawi takie właśnie powiadomienie. Wtedy trzeba samodzielnie pofatygować się na pocztę, żeby odebrać przesyłkę, która miała trafić do rąk własnych. Wielu warszawiaków kieruje się wtedy do najbliższej, znanej im placówki, tymczasem punkt odbioru może być zupełnie inny. Istnieje duże prawdopodobieństwo, że doręczycielem listu poleconego jest prywatny operator pocztowy Speedmail, który realizuje usługi także dla szeregu warszawskich urzędów. Otrzymując awizo, dobrze więc dokładnie sprawdzić pod jaki adres się udać, aby odebrać przesyłkę, która nie zastała nas w domu.</w:t>
      </w: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i w:val="1"/>
          <w:rtl w:val="0"/>
        </w:rPr>
        <w:t xml:space="preserve">– Na terenie Warszawy realizujemy kilkaset tysięcy doręczeń miesięcznie. Jako operator pocztowy dla biznesu, dostarczamy najczęściej korespondencję transakcyjną, pisma z banków, umowy i rachunki firm telekomunikacyjnych, ale także korespondencję urzędową. Dla odbiorców zazwyczaj nie jest istotne kto jest doręczycielem listu, który trafił w ich ręce, problem może pojawić się gdy otrzymują awizo. Wtedy dobrze jest sprawdzić adres, pod który udać się po odbiór, gdyż może to być punkt pocztowy Speedmail. Staramy się być jak najbliżej odbiorców, dlatego stale rozwijamy sieć naszych punktów awizacyjnych, których w samej stolicy jest już ponad 30, a liczba ta sukcesywnie się powiększa </w:t>
      </w:r>
      <w:r w:rsidDel="00000000" w:rsidR="00000000" w:rsidRPr="00000000">
        <w:rPr>
          <w:rtl w:val="0"/>
        </w:rPr>
        <w:t xml:space="preserve">– mówi Janusz Konopka, prezes zarządu Speedmail.</w:t>
      </w: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Doręczenie przesyłki jest w interesie listonosza</w:t>
      </w:r>
    </w:p>
    <w:p w:rsidR="00000000" w:rsidDel="00000000" w:rsidP="00000000" w:rsidRDefault="00000000" w:rsidRPr="00000000" w14:paraId="00000007">
      <w:pPr>
        <w:jc w:val="both"/>
        <w:rPr/>
      </w:pPr>
      <w:r w:rsidDel="00000000" w:rsidR="00000000" w:rsidRPr="00000000">
        <w:rPr>
          <w:rtl w:val="0"/>
        </w:rPr>
        <w:t xml:space="preserve">Otrzymanie awizo często kojarzy się z obowiązkową wizytą w urzędzie pocztowym, w określonych godzinach i długim czasem oczekiwania w kolejce. Co więcej, wielu adresatów myśli, że listonosz próbuje doręczyć przesyłkę, akurat wtedy, gdy nikogo nie ma w domu, albo w ogóle nie próbuje ustalić czy ktoś jest obecny i dla własnej wygody zostawia w skrzynce awizo. W rzeczywistości zostawienie takiego zawiadomienia jest ostatecznością, a listonoszowi bardziej opłaca się doręczyć właściwą przesyłkę.</w:t>
      </w:r>
    </w:p>
    <w:p w:rsidR="00000000" w:rsidDel="00000000" w:rsidP="00000000" w:rsidRDefault="00000000" w:rsidRPr="00000000" w14:paraId="00000008">
      <w:pPr>
        <w:jc w:val="both"/>
        <w:rPr/>
      </w:pPr>
      <w:r w:rsidDel="00000000" w:rsidR="00000000" w:rsidRPr="00000000">
        <w:rPr>
          <w:rtl w:val="0"/>
        </w:rPr>
        <w:t xml:space="preserve">- </w:t>
      </w:r>
      <w:r w:rsidDel="00000000" w:rsidR="00000000" w:rsidRPr="00000000">
        <w:rPr>
          <w:i w:val="1"/>
          <w:rtl w:val="0"/>
        </w:rPr>
        <w:t xml:space="preserve">Nasi listonosze każdorazowo próbują skontaktować się bezpośrednio z adresatem, dzwonią domofonem, pukają do drzwi. Jest to niezbędne, ponieważ dotyczy listów poleconych, których nie można zostawić w skrzynce pocztowej. Jeśli jednak z jakiegoś powodu nie uda się doręczyć korespondencji osobiście, zostawiamy awizo z informacją, gdzie można ją odebrać. Nie jest natomiast prawdą, że listonosz od razu zostawia takie zawiadomienie w skrzynce, ponieważ skuteczne doręczenie przesyłki wiąże się dla niego z wyższą gratyfikacją finansową. Zostawienie awizo po prostu mniej się opłaca </w:t>
      </w:r>
      <w:r w:rsidDel="00000000" w:rsidR="00000000" w:rsidRPr="00000000">
        <w:rPr>
          <w:rtl w:val="0"/>
        </w:rPr>
        <w:t xml:space="preserve">- tłumaczy prezes Speedmail.</w:t>
      </w: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Niezależny operator pocztowy rozrasta się w Warszawie</w:t>
      </w:r>
    </w:p>
    <w:p w:rsidR="00000000" w:rsidDel="00000000" w:rsidP="00000000" w:rsidRDefault="00000000" w:rsidRPr="00000000" w14:paraId="0000000A">
      <w:pPr>
        <w:jc w:val="both"/>
        <w:rPr>
          <w:b w:val="1"/>
        </w:rPr>
      </w:pPr>
      <w:r w:rsidDel="00000000" w:rsidR="00000000" w:rsidRPr="00000000">
        <w:rPr>
          <w:rtl w:val="0"/>
        </w:rPr>
        <w:t xml:space="preserve">Speedmail działa na szeroką skalę jako największy niezależny operator pocztowy w Polsce, specjalizujący się w doręczaniu korespondencji firmowej. Realizuje przesyłki dla instytucji finansowych, operatorów telekomunikacyjnych, firm ubezpieczeniowych i windykacyjnych, stowarzyszeń i fundacji, ale także urzędów miast i spółek komunalnych. W Warszawie działa na rzecz takich podmiotów jak: </w:t>
      </w:r>
      <w:r w:rsidDel="00000000" w:rsidR="00000000" w:rsidRPr="00000000">
        <w:rPr>
          <w:rtl w:val="0"/>
        </w:rPr>
        <w:t xml:space="preserve">ZDM, Koleje Mazowieckie czy Ośrodek Pomocy Społecznej Dzielnicy Bielany. </w:t>
      </w:r>
      <w:r w:rsidDel="00000000" w:rsidR="00000000" w:rsidRPr="00000000">
        <w:rPr>
          <w:rtl w:val="0"/>
        </w:rPr>
        <w:t xml:space="preserve">Dzięki rozwijającej się sieci placówek operator sukcesywnie </w:t>
      </w:r>
      <w:r w:rsidDel="00000000" w:rsidR="00000000" w:rsidRPr="00000000">
        <w:rPr>
          <w:rtl w:val="0"/>
        </w:rPr>
        <w:t xml:space="preserve">zwiększa swój zasięg terytorialny, działając nie tylko w dużych i średnich miastach, ale także mniejszych gminach.</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Adresy punktów odbioru awizo w Warszawie można znaleźć na stronie Speedmail.pl w zakładce zasięg terytorialny.</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spacing w:after="0" w:line="269" w:lineRule="auto"/>
        <w:jc w:val="both"/>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011">
      <w:pPr>
        <w:shd w:fill="ffffff" w:val="clear"/>
        <w:spacing w:after="0" w:line="268" w:lineRule="auto"/>
        <w:jc w:val="both"/>
        <w:rPr>
          <w:rFonts w:ascii="Calibri" w:cs="Calibri" w:eastAsia="Calibri" w:hAnsi="Calibri"/>
          <w:color w:val="222222"/>
          <w:sz w:val="20"/>
          <w:szCs w:val="20"/>
        </w:rPr>
      </w:pPr>
      <w:r w:rsidDel="00000000" w:rsidR="00000000" w:rsidRPr="00000000">
        <w:rPr>
          <w:rFonts w:ascii="Calibri" w:cs="Calibri" w:eastAsia="Calibri" w:hAnsi="Calibri"/>
          <w:b w:val="1"/>
          <w:color w:val="222222"/>
          <w:sz w:val="20"/>
          <w:szCs w:val="20"/>
          <w:rtl w:val="0"/>
        </w:rPr>
        <w:t xml:space="preserve">Speedmail</w:t>
      </w:r>
      <w:r w:rsidDel="00000000" w:rsidR="00000000" w:rsidRPr="00000000">
        <w:rPr>
          <w:rFonts w:ascii="Calibri" w:cs="Calibri" w:eastAsia="Calibri" w:hAnsi="Calibri"/>
          <w:color w:val="222222"/>
          <w:sz w:val="20"/>
          <w:szCs w:val="20"/>
          <w:rtl w:val="0"/>
        </w:rPr>
        <w:t xml:space="preserve"> to największy w Polsce niezależny operator pocztowy. Firma doręcza przesyłki listowe i marketingowe poprzez sieć ponad 100 placówek zlokalizowanych w większości dużych i średnich miast kraju. Oferta Speedmail adresowana jest do firm takich jak: banki, operatorzy telekomunikacyjni, telewizje kablowe, firmy ubezpieczeniowe, ale też do agencji marketingowych, fundacji, samorządów oraz spółek miejskich. Jej konkurencyjną przewagę stanowią zarówno elastyczność cenowa, jak i najnowsze rozwiązania IT: śledzenie wszystkich przesyłek, monitoring listonoszy on-line czy aplikacja do zarządzania korespondencją. Dzięki zintegrowaniu z największymi drukarniami korespondencji i firmami konfekcyjnymi, Speedmail zapewnia pełną automatyzację wysyłek masowych. Działalność firmy wyróżnia zastosowanie sprawdzonych rozwiązań logistycznych, ale także dbałość o bezpieczeństwo obrotu pocztowego. Marka Speedmail budowana jest w oparciu o najlepsze praktyki i doświadczenia rynków europejskich. </w:t>
      </w:r>
    </w:p>
    <w:p w:rsidR="00000000" w:rsidDel="00000000" w:rsidP="00000000" w:rsidRDefault="00000000" w:rsidRPr="00000000" w14:paraId="00000012">
      <w:pPr>
        <w:shd w:fill="ffffff" w:val="clear"/>
        <w:spacing w:after="0" w:line="268" w:lineRule="auto"/>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13">
      <w:pPr>
        <w:spacing w:after="0" w:line="266" w:lineRule="auto"/>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014">
      <w:pPr>
        <w:spacing w:after="0" w:line="266" w:lineRule="auto"/>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Kontakt dla mediów:</w:t>
      </w:r>
    </w:p>
    <w:p w:rsidR="00000000" w:rsidDel="00000000" w:rsidP="00000000" w:rsidRDefault="00000000" w:rsidRPr="00000000" w14:paraId="00000015">
      <w:pPr>
        <w:spacing w:after="0" w:line="266" w:lineRule="auto"/>
        <w:jc w:val="both"/>
        <w:rPr>
          <w:rFonts w:ascii="Calibri" w:cs="Calibri" w:eastAsia="Calibri" w:hAnsi="Calibri"/>
          <w:color w:val="000000"/>
          <w:sz w:val="18"/>
          <w:szCs w:val="18"/>
        </w:rPr>
      </w:pPr>
      <w:r w:rsidDel="00000000" w:rsidR="00000000" w:rsidRPr="00000000">
        <w:rPr>
          <w:sz w:val="18"/>
          <w:szCs w:val="18"/>
          <w:rtl w:val="0"/>
        </w:rPr>
        <w:t xml:space="preserve">Piotr Chojnacki</w:t>
      </w:r>
      <w:r w:rsidDel="00000000" w:rsidR="00000000" w:rsidRPr="00000000">
        <w:rPr>
          <w:rtl w:val="0"/>
        </w:rPr>
      </w:r>
    </w:p>
    <w:p w:rsidR="00000000" w:rsidDel="00000000" w:rsidP="00000000" w:rsidRDefault="00000000" w:rsidRPr="00000000" w14:paraId="00000016">
      <w:pPr>
        <w:spacing w:after="0" w:line="266"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Tel. + 48 796 996 </w:t>
      </w:r>
      <w:r w:rsidDel="00000000" w:rsidR="00000000" w:rsidRPr="00000000">
        <w:rPr>
          <w:sz w:val="18"/>
          <w:szCs w:val="18"/>
          <w:rtl w:val="0"/>
        </w:rPr>
        <w:t xml:space="preserve">267</w:t>
      </w:r>
      <w:r w:rsidDel="00000000" w:rsidR="00000000" w:rsidRPr="00000000">
        <w:rPr>
          <w:rtl w:val="0"/>
        </w:rPr>
      </w:r>
    </w:p>
    <w:p w:rsidR="00000000" w:rsidDel="00000000" w:rsidP="00000000" w:rsidRDefault="00000000" w:rsidRPr="00000000" w14:paraId="00000017">
      <w:pPr>
        <w:spacing w:after="0" w:line="269" w:lineRule="auto"/>
        <w:jc w:val="both"/>
        <w:rPr/>
      </w:pPr>
      <w:r w:rsidDel="00000000" w:rsidR="00000000" w:rsidRPr="00000000">
        <w:rPr>
          <w:rFonts w:ascii="Calibri" w:cs="Calibri" w:eastAsia="Calibri" w:hAnsi="Calibri"/>
          <w:color w:val="000000"/>
          <w:sz w:val="18"/>
          <w:szCs w:val="18"/>
          <w:rtl w:val="0"/>
        </w:rPr>
        <w:t xml:space="preserve">E-mail: </w:t>
      </w:r>
      <w:r w:rsidDel="00000000" w:rsidR="00000000" w:rsidRPr="00000000">
        <w:rPr>
          <w:sz w:val="18"/>
          <w:szCs w:val="18"/>
          <w:rtl w:val="0"/>
        </w:rPr>
        <w:t xml:space="preserve">piotr.chojnacki</w:t>
      </w:r>
      <w:r w:rsidDel="00000000" w:rsidR="00000000" w:rsidRPr="00000000">
        <w:rPr>
          <w:rFonts w:ascii="Calibri" w:cs="Calibri" w:eastAsia="Calibri" w:hAnsi="Calibri"/>
          <w:color w:val="000000"/>
          <w:sz w:val="18"/>
          <w:szCs w:val="18"/>
          <w:rtl w:val="0"/>
        </w:rPr>
        <w:t xml:space="preserve">@goodonepr.pl</w:t>
      </w:r>
      <w:r w:rsidDel="00000000" w:rsidR="00000000" w:rsidRPr="00000000">
        <w:rPr>
          <w:rtl w:val="0"/>
        </w:rPr>
      </w:r>
    </w:p>
    <w:p w:rsidR="00000000" w:rsidDel="00000000" w:rsidP="00000000" w:rsidRDefault="00000000" w:rsidRPr="00000000" w14:paraId="00000018">
      <w:pPr>
        <w:spacing w:after="0" w:line="269" w:lineRule="auto"/>
        <w:jc w:val="both"/>
        <w:rPr/>
      </w:pPr>
      <w:r w:rsidDel="00000000" w:rsidR="00000000" w:rsidRPr="00000000">
        <w:rPr>
          <w:rtl w:val="0"/>
        </w:rPr>
      </w:r>
    </w:p>
    <w:sectPr>
      <w:footerReference r:id="rId7" w:type="default"/>
      <w:pgSz w:h="16838" w:w="11906" w:orient="portrait"/>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tabs>
        <w:tab w:val="center" w:leader="none" w:pos="4536"/>
        <w:tab w:val="right" w:leader="none" w:pos="9072"/>
      </w:tab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-835178</wp:posOffset>
          </wp:positionH>
          <wp:positionV relativeFrom="paragraph">
            <wp:posOffset>6057900</wp:posOffset>
          </wp:positionV>
          <wp:extent cx="7430135" cy="708660"/>
          <wp:effectExtent b="0" l="0" r="0" t="0"/>
          <wp:wrapTopAndBottom distB="0" dist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30135" cy="708660"/>
                  </a:xfrm>
                  <a:prstGeom prst="rect"/>
                  <a:ln/>
                </pic:spPr>
              </pic:pic>
            </a:graphicData>
          </a:graphic>
        </wp:anchor>
      </w:drawing>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-838198</wp:posOffset>
          </wp:positionH>
          <wp:positionV relativeFrom="paragraph">
            <wp:posOffset>101101</wp:posOffset>
          </wp:positionV>
          <wp:extent cx="7430135" cy="708660"/>
          <wp:effectExtent b="0" l="0" r="0" t="0"/>
          <wp:wrapTopAndBottom distB="0" distT="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430135" cy="70866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table" w:styleId="TableNormal" w:customStyle="1">
    <w:name w:val="Table Normal"/>
    <w:tblPr>
      <w:tblCellMar>
        <w:top w:w="0.0" w:type="dxa"/>
        <w:left w:w="0.0" w:type="dxa"/>
        <w:bottom w:w="0.0" w:type="dxa"/>
        <w:right w:w="0.0" w:type="dxa"/>
      </w:tblCellMar>
    </w:tblPr>
  </w:style>
  <w:style w:type="paragraph" w:styleId="Nagwek">
    <w:name w:val="header"/>
    <w:basedOn w:val="Normalny"/>
    <w:link w:val="NagwekZnak"/>
    <w:uiPriority w:val="99"/>
    <w:unhideWhenUsed w:val="1"/>
    <w:rsid w:val="00C82990"/>
    <w:pPr>
      <w:tabs>
        <w:tab w:val="center" w:pos="4536"/>
        <w:tab w:val="right" w:pos="9072"/>
      </w:tabs>
      <w:spacing w:after="0" w:line="240" w:lineRule="auto"/>
    </w:pPr>
    <w:rPr>
      <w:rFonts w:eastAsiaTheme="minorHAnsi"/>
      <w:lang w:eastAsia="en-US"/>
    </w:rPr>
  </w:style>
  <w:style w:type="character" w:styleId="NagwekZnak" w:customStyle="1">
    <w:name w:val="Nagłówek Znak"/>
    <w:basedOn w:val="Domylnaczcionkaakapitu"/>
    <w:link w:val="Nagwek"/>
    <w:uiPriority w:val="99"/>
    <w:rsid w:val="00C82990"/>
  </w:style>
  <w:style w:type="paragraph" w:styleId="Stopka">
    <w:name w:val="footer"/>
    <w:basedOn w:val="Normalny"/>
    <w:link w:val="StopkaZnak"/>
    <w:uiPriority w:val="99"/>
    <w:unhideWhenUsed w:val="1"/>
    <w:rsid w:val="00C82990"/>
    <w:pPr>
      <w:tabs>
        <w:tab w:val="center" w:pos="4536"/>
        <w:tab w:val="right" w:pos="9072"/>
      </w:tabs>
      <w:spacing w:after="0" w:line="240" w:lineRule="auto"/>
    </w:pPr>
    <w:rPr>
      <w:rFonts w:eastAsiaTheme="minorHAnsi"/>
      <w:lang w:eastAsia="en-US"/>
    </w:rPr>
  </w:style>
  <w:style w:type="character" w:styleId="StopkaZnak" w:customStyle="1">
    <w:name w:val="Stopka Znak"/>
    <w:basedOn w:val="Domylnaczcionkaakapitu"/>
    <w:link w:val="Stopka"/>
    <w:uiPriority w:val="99"/>
    <w:rsid w:val="00C82990"/>
  </w:style>
  <w:style w:type="paragraph" w:styleId="Tekstdymka">
    <w:name w:val="Balloon Text"/>
    <w:basedOn w:val="Normalny"/>
    <w:link w:val="TekstdymkaZnak"/>
    <w:uiPriority w:val="99"/>
    <w:semiHidden w:val="1"/>
    <w:unhideWhenUsed w:val="1"/>
    <w:rsid w:val="00C82990"/>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C82990"/>
    <w:rPr>
      <w:rFonts w:ascii="Tahoma" w:cs="Tahoma" w:hAnsi="Tahoma"/>
      <w:sz w:val="16"/>
      <w:szCs w:val="16"/>
    </w:rPr>
  </w:style>
  <w:style w:type="paragraph" w:styleId="Akapitzlist">
    <w:name w:val="List Paragraph"/>
    <w:basedOn w:val="Normalny"/>
    <w:uiPriority w:val="34"/>
    <w:qFormat w:val="1"/>
    <w:rsid w:val="00EE0AB3"/>
    <w:pPr>
      <w:ind w:left="720"/>
      <w:contextualSpacing w:val="1"/>
    </w:pPr>
  </w:style>
  <w:style w:type="character" w:styleId="Hipercze">
    <w:name w:val="Hyperlink"/>
    <w:basedOn w:val="Domylnaczcionkaakapitu"/>
    <w:uiPriority w:val="99"/>
    <w:unhideWhenUsed w:val="1"/>
    <w:rsid w:val="00D942AB"/>
    <w:rPr>
      <w:color w:val="0000ff" w:themeColor="hyperlink"/>
      <w:u w:val="single"/>
    </w:rPr>
  </w:style>
  <w:style w:type="character" w:styleId="Pogrubienie">
    <w:name w:val="Strong"/>
    <w:basedOn w:val="Domylnaczcionkaakapitu"/>
    <w:uiPriority w:val="22"/>
    <w:qFormat w:val="1"/>
    <w:rsid w:val="00706D9F"/>
    <w:rPr>
      <w:b w:val="1"/>
      <w:bCs w:val="1"/>
    </w:rPr>
  </w:style>
  <w:style w:type="paragraph" w:styleId="Tekstprzypisukocowego">
    <w:name w:val="endnote text"/>
    <w:basedOn w:val="Normalny"/>
    <w:link w:val="TekstprzypisukocowegoZnak"/>
    <w:uiPriority w:val="99"/>
    <w:semiHidden w:val="1"/>
    <w:unhideWhenUsed w:val="1"/>
    <w:rsid w:val="00B00188"/>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B00188"/>
    <w:rPr>
      <w:rFonts w:eastAsiaTheme="minorEastAsia"/>
      <w:sz w:val="20"/>
      <w:szCs w:val="20"/>
      <w:lang w:eastAsia="pl-PL"/>
    </w:rPr>
  </w:style>
  <w:style w:type="character" w:styleId="Odwoanieprzypisukocowego">
    <w:name w:val="endnote reference"/>
    <w:basedOn w:val="Domylnaczcionkaakapitu"/>
    <w:uiPriority w:val="99"/>
    <w:semiHidden w:val="1"/>
    <w:unhideWhenUsed w:val="1"/>
    <w:rsid w:val="00B00188"/>
    <w:rPr>
      <w:vertAlign w:val="superscript"/>
    </w:rPr>
  </w:style>
  <w:style w:type="character" w:styleId="Odwoaniedokomentarza">
    <w:name w:val="annotation reference"/>
    <w:basedOn w:val="Domylnaczcionkaakapitu"/>
    <w:uiPriority w:val="99"/>
    <w:semiHidden w:val="1"/>
    <w:unhideWhenUsed w:val="1"/>
    <w:rsid w:val="00530E04"/>
    <w:rPr>
      <w:sz w:val="16"/>
      <w:szCs w:val="16"/>
    </w:rPr>
  </w:style>
  <w:style w:type="paragraph" w:styleId="Tekstkomentarza">
    <w:name w:val="annotation text"/>
    <w:basedOn w:val="Normalny"/>
    <w:link w:val="TekstkomentarzaZnak"/>
    <w:uiPriority w:val="99"/>
    <w:unhideWhenUsed w:val="1"/>
    <w:rsid w:val="00530E04"/>
    <w:pPr>
      <w:spacing w:line="240" w:lineRule="auto"/>
    </w:pPr>
    <w:rPr>
      <w:sz w:val="20"/>
      <w:szCs w:val="20"/>
    </w:rPr>
  </w:style>
  <w:style w:type="character" w:styleId="TekstkomentarzaZnak" w:customStyle="1">
    <w:name w:val="Tekst komentarza Znak"/>
    <w:basedOn w:val="Domylnaczcionkaakapitu"/>
    <w:link w:val="Tekstkomentarza"/>
    <w:uiPriority w:val="99"/>
    <w:rsid w:val="00530E0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val="1"/>
    <w:unhideWhenUsed w:val="1"/>
    <w:rsid w:val="00530E04"/>
    <w:rPr>
      <w:b w:val="1"/>
      <w:bCs w:val="1"/>
    </w:rPr>
  </w:style>
  <w:style w:type="character" w:styleId="TematkomentarzaZnak" w:customStyle="1">
    <w:name w:val="Temat komentarza Znak"/>
    <w:basedOn w:val="TekstkomentarzaZnak"/>
    <w:link w:val="Tematkomentarza"/>
    <w:uiPriority w:val="99"/>
    <w:semiHidden w:val="1"/>
    <w:rsid w:val="00530E04"/>
    <w:rPr>
      <w:rFonts w:eastAsiaTheme="minorEastAsia"/>
      <w:b w:val="1"/>
      <w:bCs w:val="1"/>
      <w:sz w:val="20"/>
      <w:szCs w:val="20"/>
      <w:lang w:eastAsia="pl-PL"/>
    </w:rPr>
  </w:style>
  <w:style w:type="paragraph" w:styleId="Poprawka">
    <w:name w:val="Revision"/>
    <w:hidden w:val="1"/>
    <w:uiPriority w:val="99"/>
    <w:semiHidden w:val="1"/>
    <w:rsid w:val="00BF26AB"/>
    <w:pPr>
      <w:spacing w:after="0" w:line="240" w:lineRule="auto"/>
    </w:pPr>
    <w:rPr>
      <w:rFonts w:eastAsiaTheme="minorEastAsia"/>
    </w:rPr>
  </w:style>
  <w:style w:type="paragraph" w:styleId="NormalnyWeb">
    <w:name w:val="Normal (Web)"/>
    <w:basedOn w:val="Normalny"/>
    <w:uiPriority w:val="99"/>
    <w:semiHidden w:val="1"/>
    <w:unhideWhenUsed w:val="1"/>
    <w:rsid w:val="006873E0"/>
    <w:pPr>
      <w:spacing w:after="100" w:afterAutospacing="1" w:before="100" w:beforeAutospacing="1" w:line="240" w:lineRule="auto"/>
    </w:pPr>
    <w:rPr>
      <w:rFonts w:ascii="Times New Roman" w:cs="Times New Roman" w:eastAsia="Times New Roman" w:hAnsi="Times New Roman"/>
      <w:sz w:val="24"/>
      <w:szCs w:val="24"/>
    </w:rPr>
  </w:style>
  <w:style w:type="character" w:styleId="text-nowrap" w:customStyle="1">
    <w:name w:val="text-nowrap"/>
    <w:basedOn w:val="Domylnaczcionkaakapitu"/>
    <w:rsid w:val="00CD5B01"/>
  </w:style>
  <w:style w:type="character" w:styleId="Uwydatnienie">
    <w:name w:val="Emphasis"/>
    <w:basedOn w:val="Domylnaczcionkaakapitu"/>
    <w:uiPriority w:val="20"/>
    <w:qFormat w:val="1"/>
    <w:rsid w:val="00DA2D5E"/>
    <w:rPr>
      <w:i w:val="1"/>
      <w:iCs w:val="1"/>
    </w:rPr>
  </w:style>
  <w:style w:type="character" w:styleId="Nierozpoznanawzmianka1" w:customStyle="1">
    <w:name w:val="Nierozpoznana wzmianka1"/>
    <w:basedOn w:val="Domylnaczcionkaakapitu"/>
    <w:uiPriority w:val="99"/>
    <w:semiHidden w:val="1"/>
    <w:unhideWhenUsed w:val="1"/>
    <w:rsid w:val="007C36BD"/>
    <w:rPr>
      <w:color w:val="605e5c"/>
      <w:shd w:color="auto" w:fill="e1dfdd" w:val="clear"/>
    </w:rPr>
  </w:style>
  <w:style w:type="paragraph" w:styleId="Tekstprzypisudolnego">
    <w:name w:val="footnote text"/>
    <w:basedOn w:val="Normalny"/>
    <w:link w:val="TekstprzypisudolnegoZnak"/>
    <w:uiPriority w:val="99"/>
    <w:semiHidden w:val="1"/>
    <w:unhideWhenUsed w:val="1"/>
    <w:rsid w:val="00E7697A"/>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val="1"/>
    <w:rsid w:val="00E7697A"/>
    <w:rPr>
      <w:rFonts w:eastAsiaTheme="minorEastAsia"/>
      <w:sz w:val="20"/>
      <w:szCs w:val="20"/>
    </w:rPr>
  </w:style>
  <w:style w:type="character" w:styleId="Odwoanieprzypisudolnego">
    <w:name w:val="footnote reference"/>
    <w:basedOn w:val="Domylnaczcionkaakapitu"/>
    <w:uiPriority w:val="99"/>
    <w:semiHidden w:val="1"/>
    <w:unhideWhenUsed w:val="1"/>
    <w:rsid w:val="00E7697A"/>
    <w:rPr>
      <w:vertAlign w:val="superscript"/>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EtXRq68Q/arBBwphnI2obum/w==">CgMxLjA4AGomChRzdWdnZXN0LnhlOW50aWh3YWhzcBIOTWljaGHFgiBaxJliaWtqJgoUc3VnZ2VzdC5rcW1la2QzdjV5cXgSDk1pY2hhxYIgWsSZYmlraiYKFHN1Z2dlc3QuYjlsejdieGMyZjB3Eg5NaWNoYcWCIFrEmWJpa2omChRzdWdnZXN0LmwzY21vZHhjOGNybhIOTWljaGHFgiBaxJliaWtqJgoUc3VnZ2VzdC55YWRybjUzdXpkZG0SDk1pY2hhxYIgWsSZYmlraiYKFHN1Z2dlc3Quajl5Mm1iN3lsa3A1Eg5NaWNoYcWCIFrEmWJpa2omChRzdWdnZXN0Lmc0OW9taTk4NjJwaxIOTWljaGHFgiBaxJliaWtyITFIdHNVOUw2WEY4Q1Q0TUJUaC1SeW5zZHJUTTFUbFZM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2025-07-11T07:12:00Z</dcterms:created>
  <dc:creator>Agnieszka Zielinska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12b0b2-1478-4c29-b719-0ace0124ecbe_Enabled">
    <vt:lpwstr>true</vt:lpwstr>
  </property>
  <property fmtid="{D5CDD505-2E9C-101B-9397-08002B2CF9AE}" pid="3" name="MSIP_Label_a812b0b2-1478-4c29-b719-0ace0124ecbe_SetDate">
    <vt:lpwstr>2024-09-23T07:29:57Z</vt:lpwstr>
  </property>
  <property fmtid="{D5CDD505-2E9C-101B-9397-08002B2CF9AE}" pid="4" name="MSIP_Label_a812b0b2-1478-4c29-b719-0ace0124ecbe_Method">
    <vt:lpwstr>Standard</vt:lpwstr>
  </property>
  <property fmtid="{D5CDD505-2E9C-101B-9397-08002B2CF9AE}" pid="5" name="MSIP_Label_a812b0b2-1478-4c29-b719-0ace0124ecbe_Name">
    <vt:lpwstr>PL_01_public</vt:lpwstr>
  </property>
  <property fmtid="{D5CDD505-2E9C-101B-9397-08002B2CF9AE}" pid="6" name="MSIP_Label_a812b0b2-1478-4c29-b719-0ace0124ecbe_SiteId">
    <vt:lpwstr>94a57ab1-b77f-4874-94d3-202694f69e30</vt:lpwstr>
  </property>
  <property fmtid="{D5CDD505-2E9C-101B-9397-08002B2CF9AE}" pid="7" name="MSIP_Label_a812b0b2-1478-4c29-b719-0ace0124ecbe_ActionId">
    <vt:lpwstr>ff1bb62b-11a8-4f6e-9a05-9c15f69cddd9</vt:lpwstr>
  </property>
  <property fmtid="{D5CDD505-2E9C-101B-9397-08002B2CF9AE}" pid="8" name="MSIP_Label_a812b0b2-1478-4c29-b719-0ace0124ecbe_ContentBits">
    <vt:lpwstr>0</vt:lpwstr>
  </property>
</Properties>
</file>