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9BA1" w14:textId="5699AC20" w:rsidR="00BC1D1F" w:rsidRPr="003653E6" w:rsidRDefault="00BC1D1F" w:rsidP="009B55CB">
      <w:pPr>
        <w:jc w:val="center"/>
        <w:rPr>
          <w:rFonts w:ascii="Arial" w:hAnsi="Arial" w:cs="Arial"/>
          <w:b/>
          <w:bCs/>
          <w:position w:val="-6"/>
        </w:rPr>
      </w:pPr>
      <w:r w:rsidRPr="003653E6">
        <w:rPr>
          <w:rFonts w:ascii="Arial" w:hAnsi="Arial" w:cs="Arial"/>
          <w:noProof/>
          <w:color w:val="000000" w:themeColor="text1"/>
          <w:position w:val="-6"/>
        </w:rPr>
        <w:drawing>
          <wp:inline distT="0" distB="0" distL="0" distR="0" wp14:anchorId="606D1AA5" wp14:editId="734D07F8">
            <wp:extent cx="6120130" cy="1181100"/>
            <wp:effectExtent l="0" t="0" r="0" b="0"/>
            <wp:docPr id="1559706849" name="Picture 1559706849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10319" name="Picture 15597068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ABC9" w14:textId="77777777" w:rsidR="00F22754" w:rsidRPr="003653E6" w:rsidRDefault="00F22754" w:rsidP="00085143">
      <w:pPr>
        <w:rPr>
          <w:rFonts w:ascii="Arial" w:hAnsi="Arial" w:cs="Arial"/>
          <w:b/>
          <w:bCs/>
          <w:position w:val="-6"/>
          <w:sz w:val="32"/>
          <w:szCs w:val="32"/>
        </w:rPr>
      </w:pPr>
    </w:p>
    <w:p w14:paraId="2372DED7" w14:textId="3E163247" w:rsidR="002240FC" w:rsidRPr="003653E6" w:rsidRDefault="00A169EC" w:rsidP="0044244C">
      <w:pPr>
        <w:jc w:val="center"/>
        <w:rPr>
          <w:rStyle w:val="normaltextrun"/>
          <w:rFonts w:ascii="Arial" w:hAnsi="Arial" w:cs="Arial"/>
          <w:i/>
          <w:iCs/>
          <w:color w:val="000000"/>
          <w:position w:val="-6"/>
        </w:rPr>
      </w:pPr>
      <w:r w:rsidRPr="003653E6">
        <w:rPr>
          <w:rFonts w:ascii="Arial" w:hAnsi="Arial" w:cs="Arial"/>
          <w:b/>
          <w:bCs/>
          <w:position w:val="-6"/>
          <w:sz w:val="32"/>
          <w:szCs w:val="32"/>
        </w:rPr>
        <w:t>Il futuro delle banche? Smart, ma ad alto rischio</w:t>
      </w:r>
    </w:p>
    <w:p w14:paraId="0500B606" w14:textId="022CCF62" w:rsidR="00C05672" w:rsidRPr="003653E6" w:rsidRDefault="00A169EC" w:rsidP="0044244C">
      <w:pPr>
        <w:jc w:val="center"/>
        <w:rPr>
          <w:rFonts w:ascii="Segoe UI" w:hAnsi="Segoe UI" w:cs="Segoe UI"/>
          <w:position w:val="-6"/>
        </w:rPr>
      </w:pPr>
      <w:r w:rsidRPr="003653E6">
        <w:rPr>
          <w:rStyle w:val="normaltextrun"/>
          <w:rFonts w:ascii="Arial" w:hAnsi="Arial" w:cs="Arial"/>
          <w:i/>
          <w:iCs/>
          <w:color w:val="000000"/>
          <w:position w:val="-6"/>
        </w:rPr>
        <w:t>Una nuova ricerca sponsorizzata da SAS e condotta da Economist Impact svela</w:t>
      </w:r>
      <w:r w:rsidR="00DC2D18" w:rsidRPr="003653E6">
        <w:rPr>
          <w:rStyle w:val="normaltextrun"/>
          <w:rFonts w:ascii="Arial" w:hAnsi="Arial" w:cs="Arial"/>
          <w:i/>
          <w:iCs/>
          <w:color w:val="000000"/>
          <w:position w:val="-6"/>
        </w:rPr>
        <w:t xml:space="preserve"> </w:t>
      </w:r>
      <w:r w:rsidRPr="003653E6">
        <w:rPr>
          <w:rStyle w:val="normaltextrun"/>
          <w:rFonts w:ascii="Arial" w:hAnsi="Arial" w:cs="Arial"/>
          <w:i/>
          <w:iCs/>
          <w:color w:val="000000"/>
          <w:position w:val="-6"/>
        </w:rPr>
        <w:t>il bivio a cui si trova il settore bancario e la strada da seguire, presentando cinque imperativi per essere leader nell’‘Era dell’Intelligenza Digitale’</w:t>
      </w:r>
    </w:p>
    <w:p w14:paraId="365863AC" w14:textId="77777777" w:rsidR="00C05672" w:rsidRPr="003653E6" w:rsidRDefault="00C05672" w:rsidP="00D21C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position w:val="-6"/>
        </w:rPr>
      </w:pPr>
    </w:p>
    <w:p w14:paraId="7CC67A43" w14:textId="14FEB1F2" w:rsidR="00A169EC" w:rsidRPr="003653E6" w:rsidRDefault="00914F33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 xml:space="preserve">Milano, </w:t>
      </w:r>
      <w:r w:rsidR="00DC2D18"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23</w:t>
      </w:r>
      <w:r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 xml:space="preserve"> </w:t>
      </w:r>
      <w:r w:rsidR="00A169EC"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luglio</w:t>
      </w:r>
      <w:r w:rsidR="0056308E"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 xml:space="preserve"> </w:t>
      </w:r>
      <w:r w:rsidR="00D21C87" w:rsidRPr="003653E6">
        <w:rPr>
          <w:rStyle w:val="normaltextrun"/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–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</w:t>
      </w:r>
      <w:r w:rsidR="00A169EC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Le istituzioni finanziarie di tutto il mondo </w:t>
      </w:r>
      <w:r w:rsidR="0097111F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stanno </w:t>
      </w:r>
      <w:r w:rsidR="00A169EC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affrontando contemporaneamente una crescente volatilità economica, un’accelerazione tecnologica senza precedenti e l’ascesa di concorrenti digitali. Secondo il rapporto </w:t>
      </w:r>
      <w:r w:rsidR="00A169EC"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“Intelligent Banking: The Future Ahead”</w:t>
      </w:r>
      <w:r w:rsidR="00A169EC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, realizzat</w:t>
      </w:r>
      <w:r w:rsidR="00D63697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o</w:t>
      </w:r>
      <w:r w:rsidR="00A169EC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da Economist Impact con il supporto di SAS, leader globale nei dati e nell’IA, il messaggio è chiaro: le banche devono agire ora per non rischiare di diventare irrilevanti. </w:t>
      </w:r>
    </w:p>
    <w:p w14:paraId="654D60E3" w14:textId="0CF2DBEF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Lo studio, basato sulle opinioni di 1.700 senior executive e selezionati dirigenti bancari e fintech di sei continenti, </w:t>
      </w:r>
      <w:r w:rsidR="0097111F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mostra 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uno scenario estremamente complesso, dove la</w:t>
      </w: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 xml:space="preserve"> 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tecnologia agisce come arma a doppio taglio, la gestione del rischio è sempre più centrale e l’evoluzione dello scenario competitivo è progressivamente accelerata: </w:t>
      </w:r>
    </w:p>
    <w:p w14:paraId="69EE48EE" w14:textId="0AE10052" w:rsidR="00A169EC" w:rsidRPr="003653E6" w:rsidRDefault="00A169EC" w:rsidP="00A169EC">
      <w:pPr>
        <w:pStyle w:val="paragraph"/>
        <w:numPr>
          <w:ilvl w:val="0"/>
          <w:numId w:val="28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L’adozione dell’</w:t>
      </w:r>
      <w:hyperlink r:id="rId12"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>IA</w:t>
        </w:r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 xml:space="preserve"> </w:t>
        </w:r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>generativa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è pressoché universale nel banking. Il 99% dei dirigenti</w:t>
      </w:r>
      <w:r w:rsidR="00EB7238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intervistati riporta un certo grado di implementazione della GenAI, nonostante più della metà abbia indicato che le prime iniziative hanno prodotto benefici finanziari limitati o nulli. Inoltre, se da un lato la GenAI migliora il </w:t>
      </w:r>
      <w:hyperlink r:id="rId13"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>rilevamento delle frodi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, dall’altro apre la strada a minacce inedite, come deepfake e identità sintetiche, che sfuggono ai metodi di rilevamento tradizionali. Non sorprende dunque che quasi l’80% dei leader bancari si aspetti un impatto operativo significativo da attacchi informatici e crimini finanziari nel prossimo decennio.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2EFEAACB" w14:textId="777EC2D1" w:rsidR="00151BBD" w:rsidRPr="00151BBD" w:rsidRDefault="00A169EC" w:rsidP="00151BBD">
      <w:pPr>
        <w:pStyle w:val="paragraph"/>
        <w:numPr>
          <w:ilvl w:val="0"/>
          <w:numId w:val="28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Anche la gestione del rischio, oggi, non è più quella di una volta. Dal report emerge che l’attuale instabilità macroeconomica, segnata da forti oscillazioni dei tassi di interesse e da sistemi finanziari sempre più frammentati, ha reso la </w:t>
      </w:r>
      <w:hyperlink r:id="rId14" w:history="1">
        <w:r w:rsidR="00DC2D18"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>gestione del</w:t>
        </w:r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 xml:space="preserve"> rischio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centrale nelle strategie di resilienza delle istituzioni. Il report </w:t>
      </w:r>
      <w:r w:rsidR="0097111F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evidenzia che l’instabilità dei tassi d’interesse sta mettendo sotto pressione la liquidità delle banche, riducendo il valore degli asset e i depositi. Per farvi fronte, gli istituti adottano l’AI per test di stress dinamici, analisi in tempo reale e gestione dei rischi normativi sempre più complessi.</w:t>
      </w:r>
      <w:r w:rsidR="00151BBD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0F40531B" w14:textId="1BF40411" w:rsidR="00722B4A" w:rsidRDefault="0097111F" w:rsidP="00722B4A">
      <w:pPr>
        <w:pStyle w:val="paragraph"/>
        <w:numPr>
          <w:ilvl w:val="0"/>
          <w:numId w:val="28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Nel settore bancario, la governance e la regolamentazione non sono più viste come un ostacolo, ma come un fattore abilitante per l’innovazione. Il 68% dei leader del settore considera le nuove normative su AI, open banking e blockchain un’opportunità per adottare tecnologie in modo responsabile. Quadri regolatori chiari favoriscono fiducia, compliance e accelerano l’integrazione di innovazioni future come il quantum computing. Le banche stanno </w:t>
      </w:r>
      <w:r w:rsidR="00DC2D18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adottando modelli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 di governance dell’AI per garantire trasparenza, equità e innovazione sostenibile.</w:t>
      </w:r>
    </w:p>
    <w:p w14:paraId="422A932C" w14:textId="6C22D488" w:rsidR="00A169EC" w:rsidRPr="003653E6" w:rsidRDefault="00A169EC" w:rsidP="00DC2D18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391E37F8" w14:textId="514AEB1D" w:rsidR="00A169EC" w:rsidRPr="003653E6" w:rsidRDefault="00A169EC" w:rsidP="00A169EC">
      <w:pPr>
        <w:pStyle w:val="paragraph"/>
        <w:numPr>
          <w:ilvl w:val="0"/>
          <w:numId w:val="28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lastRenderedPageBreak/>
        <w:t>Le banche tradizionali prevedono una concorrenza crescente da parte di banche esclusivamente digitali, fintech e Big Tech, e persino dalle valute digitali delle banche centrali. Molte stanno puntando su iniziative di finanza integrata per creare nuove fonti di ricavo, ma le partnership strategiche, in particolare con fintech e Big Tech, restano tra le vie più rapide per scalare l’innovazione e raggiungere nuovi segmenti di clientela. Al tempo stesso, ci sono dei rischi: il 43% dei dirigenti cita la condivisione dei dati con terze parti come una delle principali preoccupazioni. </w:t>
      </w:r>
    </w:p>
    <w:p w14:paraId="5755E4C8" w14:textId="77777777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Anche nel panorama italiano, la trasformazione digitale del settore bancario è in pieno corso. I dati della survey mostrano come, nel complesso, i decision maker bancari italiani si considerino piuttosto preparati per affrontare le sfide tecnologiche dei prossimi 10 anni, anche se non mancano i timori:</w:t>
      </w:r>
    </w:p>
    <w:p w14:paraId="1536B5A2" w14:textId="77777777" w:rsidR="00A169EC" w:rsidRPr="003653E6" w:rsidRDefault="00A169EC" w:rsidP="00A169EC">
      <w:pPr>
        <w:pStyle w:val="paragraph"/>
        <w:numPr>
          <w:ilvl w:val="0"/>
          <w:numId w:val="27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I rischi operativi (62%) e quelli legati alla governance (53%) emergono come le principali preoccupazioni legate all’adozione della GenAI. </w:t>
      </w:r>
    </w:p>
    <w:p w14:paraId="6EE2CDAF" w14:textId="77777777" w:rsidR="00A169EC" w:rsidRPr="003653E6" w:rsidRDefault="00A169EC" w:rsidP="00A169EC">
      <w:pPr>
        <w:pStyle w:val="paragraph"/>
        <w:numPr>
          <w:ilvl w:val="0"/>
          <w:numId w:val="27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Allo stesso tempo il 37% degli intervistati individua proprio nelle tecnologie avanzate, come l’intelligenza artificiale, la soluzione più efficace per identificare e prevenire le frodi.</w:t>
      </w:r>
    </w:p>
    <w:p w14:paraId="0DF99782" w14:textId="77777777" w:rsidR="00A169EC" w:rsidRPr="003653E6" w:rsidRDefault="00A169EC" w:rsidP="00A169EC">
      <w:pPr>
        <w:pStyle w:val="paragraph"/>
        <w:numPr>
          <w:ilvl w:val="0"/>
          <w:numId w:val="27"/>
        </w:numPr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Inoltre, secondo il 31% degli intervistati adottare tecnologie all’avanguardia e promuovere una cultura di apprendimento continuo tra i dipendenti rappresentano il modo migliore per alimentare l’innovazione del prossimo decennio.</w:t>
      </w:r>
    </w:p>
    <w:p w14:paraId="3B35FD1D" w14:textId="77777777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Il playbook bancario: 5 imperativi per un’innovazione a prova di futuro</w:t>
      </w:r>
    </w:p>
    <w:p w14:paraId="213C25CB" w14:textId="71E4A506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In considerazione dello scenario appena descritto, il nuovo rapporto identifica cinque strategie fondamentali per guidare il settore nell’era delle banche intelligenti. Come ha dichiarato </w:t>
      </w: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Stu Bradley, Senior Vice President of Risk, Fraud and Compliance Solutions di SAS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, “</w:t>
      </w:r>
      <w:r w:rsidRPr="003653E6">
        <w:rPr>
          <w:rFonts w:ascii="Arial" w:eastAsiaTheme="majorEastAsia" w:hAnsi="Arial" w:cs="Arial"/>
          <w:i/>
          <w:iCs/>
          <w:color w:val="000000"/>
          <w:position w:val="-6"/>
          <w:sz w:val="22"/>
          <w:szCs w:val="22"/>
        </w:rPr>
        <w:t>un decennio decisivo attende il settore bancario, guidato dalla frammentazione normativa, dalla disruption tecnologica e da rischi sempre più interconnessi ed elevati. Per perseverare – ed essere leader– nell’Era dell’Intelligenza Digitale, le aziende finanziarie devono ristabilire la fiducia dei consumatori su larga scala rafforzando la governance dei dati e innovando con integrità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.” </w:t>
      </w:r>
    </w:p>
    <w:p w14:paraId="1982B904" w14:textId="7C22E1B1" w:rsidR="002E66F1" w:rsidRPr="003653E6" w:rsidRDefault="00A169EC" w:rsidP="00E55569">
      <w:pPr>
        <w:pStyle w:val="paragraph"/>
        <w:numPr>
          <w:ilvl w:val="0"/>
          <w:numId w:val="25"/>
        </w:numPr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Rafforzare la governance dei dati e dell’IA</w:t>
      </w:r>
      <w:r w:rsidR="002E66F1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La solidità delle fondamenta digitali è essenziale per un’innovazione sicura ed efficace. Già oggi, il 34% dei decision maker bancari individua nei framework di governance dei dati, con responsabilità ben definite, la leva più efficace per rafforzare la gestione e la protezione delle informazioni, mentre il 33% delle banche monitora le applicazioni GenAI tramite alert in tempo reale, il 28% ha introdotto framework di governance con supervisione umana e il 32% ha implementato controlli specifici per la privacy dei dati.</w:t>
      </w:r>
      <w:r w:rsidR="002E66F1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5C6284C9" w14:textId="4A8CF52D" w:rsidR="002E66F1" w:rsidRPr="003653E6" w:rsidRDefault="00A169EC" w:rsidP="00E55569">
      <w:pPr>
        <w:pStyle w:val="paragraph"/>
        <w:numPr>
          <w:ilvl w:val="0"/>
          <w:numId w:val="25"/>
        </w:numPr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Costruire la fiducia dei clienti</w:t>
      </w:r>
      <w:r w:rsidR="002E66F1"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br/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In un contesto sempre più digitale, la trasparenza e la protezione dei dati sono fondamentali per rafforzare il rapporto con i propri clienti. Il 32% delle banche ha già adottato protocolli di cifratura avanzata e sistemi di accesso controllato, mentre il 28% utilizza tecnologie biometriche per garantire affidabilità e sicurezza. In questo contesto grande rilevanza viene attribuita all’ascolto attivo che, anche tramite analisi del sentiment con IA, consente di anticipare le esigenze dei clienti.</w:t>
      </w:r>
      <w:r w:rsidR="002E66F1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3E04DB79" w14:textId="5E6790E4" w:rsidR="002E66F1" w:rsidRPr="003653E6" w:rsidRDefault="00A169EC" w:rsidP="00E55569">
      <w:pPr>
        <w:pStyle w:val="paragraph"/>
        <w:numPr>
          <w:ilvl w:val="0"/>
          <w:numId w:val="25"/>
        </w:numPr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Semplificare la compliance tramite automazione e collaborazione</w:t>
      </w:r>
      <w:r w:rsidR="002E66F1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La crescente complessità normativa richiede nuove soluzioni: il 37% delle banche punta su regtech per automatizzare compliance e reporting, il 28% sviluppa audit periodici di compliance per prevenire sanzioni e rischi legali mentre il 21% ha attivato team globali di monitoraggio e risposta. Inoltre, il 38% considera l’adozione di tecnologie avanzate per il rilevamento delle minacce e la gestione automatizzata dei dati come leve fondamentali per </w:t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lastRenderedPageBreak/>
        <w:t>garantire una compliance efficace e tempestiva, riducendo il rischio di errori umani e velocizzando la risposta alle nuove normative.</w:t>
      </w:r>
      <w:r w:rsidR="002E66F1"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br/>
      </w:r>
    </w:p>
    <w:p w14:paraId="26BF3871" w14:textId="6DED45F1" w:rsidR="00A169EC" w:rsidRPr="003653E6" w:rsidRDefault="00A169EC" w:rsidP="00E55569">
      <w:pPr>
        <w:pStyle w:val="paragraph"/>
        <w:numPr>
          <w:ilvl w:val="0"/>
          <w:numId w:val="25"/>
        </w:numPr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Perseguire partnership strategiche con fintech e Big Tech</w:t>
      </w:r>
      <w:r w:rsidR="002E66F1"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br/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L’innovazione passa dalla collaborazione. Secondo il report, il 32% dei decision maker del settore considera le partnership con fintech e Big Tech tra le strategie più efficaci per favorire la spinta innovativa, mentre il 37% investe in tecnologie emergenti per sviluppare nuovi servizi. Rimane tuttavia valido il presupposto evidenziato in precedenza: una forte attenzione in materia di sicurezza e privacy dei dati.</w:t>
      </w:r>
      <w:r w:rsidR="002E66F1"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br/>
      </w:r>
    </w:p>
    <w:p w14:paraId="3C5A73FB" w14:textId="1616743A" w:rsidR="00A169EC" w:rsidRPr="003653E6" w:rsidRDefault="00A169EC" w:rsidP="00E55569">
      <w:pPr>
        <w:pStyle w:val="paragraph"/>
        <w:numPr>
          <w:ilvl w:val="0"/>
          <w:numId w:val="25"/>
        </w:numPr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t>Accelerare l’innovazione aziendale attraverso formazione e modernizzazione</w:t>
      </w:r>
      <w:r w:rsidR="002E66F1" w:rsidRPr="003653E6">
        <w:rPr>
          <w:rFonts w:ascii="Arial" w:eastAsiaTheme="majorEastAsia" w:hAnsi="Arial" w:cs="Arial"/>
          <w:b/>
          <w:bCs/>
          <w:color w:val="000000"/>
          <w:position w:val="-6"/>
          <w:sz w:val="22"/>
          <w:szCs w:val="22"/>
        </w:rPr>
        <w:br/>
      </w: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Promuovere una cultura aziendale orientata all’apprendimento continuo e investire in tecnologie all’avanguardia permette di coinvolgere tutti i dipartimenti nell’innovazione. La formazione tecnologica avanzata per i leader (36%) e per il personale (30%) sono considerate essenziali per prepararsi alle sfide future e mantenere la competitività in un mercato in rapida evoluzione.</w:t>
      </w:r>
    </w:p>
    <w:p w14:paraId="752040CB" w14:textId="77777777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Per approfondire i risultati dello studio, è possibile scaricare il rapporto completo su </w:t>
      </w:r>
      <w:hyperlink r:id="rId15">
        <w:r w:rsidRPr="003653E6">
          <w:rPr>
            <w:rStyle w:val="Hyperlink"/>
            <w:rFonts w:ascii="Arial" w:eastAsiaTheme="majorEastAsia" w:hAnsi="Arial" w:cs="Arial"/>
            <w:b/>
            <w:bCs/>
            <w:position w:val="-6"/>
            <w:sz w:val="22"/>
            <w:szCs w:val="22"/>
          </w:rPr>
          <w:t>SAS.com/intelligent-banking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>.</w:t>
      </w:r>
    </w:p>
    <w:p w14:paraId="71629910" w14:textId="77777777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2"/>
          <w:szCs w:val="22"/>
        </w:rPr>
      </w:pPr>
      <w:r w:rsidRPr="003653E6">
        <w:rPr>
          <w:rFonts w:ascii="Arial" w:eastAsiaTheme="majorEastAsia" w:hAnsi="Arial" w:cs="Arial"/>
          <w:color w:val="000000"/>
          <w:position w:val="-6"/>
          <w:sz w:val="22"/>
          <w:szCs w:val="22"/>
        </w:rPr>
        <w:t xml:space="preserve">Inoltre, gli utenti possono esplorare i dati del sondaggio per paese, settore e altro ancora tramite la dashboard dei dati del rapporto, disponibile su </w:t>
      </w:r>
      <w:hyperlink r:id="rId16" w:history="1">
        <w:r w:rsidRPr="003653E6">
          <w:rPr>
            <w:rStyle w:val="Hyperlink"/>
            <w:rFonts w:ascii="Arial" w:eastAsiaTheme="majorEastAsia" w:hAnsi="Arial" w:cs="Arial"/>
            <w:position w:val="-6"/>
            <w:sz w:val="22"/>
            <w:szCs w:val="22"/>
          </w:rPr>
          <w:t>SAS.com/bankingsurvey.</w:t>
        </w:r>
      </w:hyperlink>
    </w:p>
    <w:p w14:paraId="62EA02D5" w14:textId="5FB67FCC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b/>
          <w:bCs/>
          <w:color w:val="000000"/>
          <w:position w:val="-6"/>
          <w:sz w:val="20"/>
          <w:szCs w:val="20"/>
        </w:rPr>
      </w:pPr>
      <w:r w:rsidRPr="003653E6">
        <w:rPr>
          <w:rFonts w:ascii="Arial" w:eastAsiaTheme="majorEastAsia" w:hAnsi="Arial" w:cs="Arial"/>
          <w:b/>
          <w:bCs/>
          <w:color w:val="000000"/>
          <w:position w:val="-6"/>
          <w:sz w:val="20"/>
          <w:szCs w:val="20"/>
        </w:rPr>
        <w:br/>
        <w:t>Economist Impact</w:t>
      </w:r>
    </w:p>
    <w:p w14:paraId="7152ACDA" w14:textId="7144B128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0"/>
          <w:szCs w:val="20"/>
        </w:rPr>
      </w:pPr>
      <w:hyperlink r:id="rId17" w:history="1">
        <w:r w:rsidRPr="003653E6">
          <w:rPr>
            <w:rStyle w:val="Hyperlink"/>
            <w:rFonts w:ascii="Arial" w:eastAsiaTheme="majorEastAsia" w:hAnsi="Arial" w:cs="Arial"/>
            <w:position w:val="-6"/>
            <w:sz w:val="20"/>
            <w:szCs w:val="20"/>
          </w:rPr>
          <w:t>Economist Impact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0"/>
          <w:szCs w:val="20"/>
        </w:rPr>
        <w:t xml:space="preserve"> combina il rigore di un think tank con la creatività di un brand mediatico per coinvolgere un pubblico influente a livello globale. Collaboriamo con aziende, fondazioni, ONG e governi su grandi temi come sostenibilità, salute e la nuova globalizzazione per catalizzare il cambiamento e favorire il progresso.</w:t>
      </w:r>
    </w:p>
    <w:p w14:paraId="680FB178" w14:textId="16C6DF27" w:rsidR="00A169EC" w:rsidRPr="003653E6" w:rsidRDefault="00A169EC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0"/>
          <w:szCs w:val="20"/>
        </w:rPr>
      </w:pPr>
      <w:r w:rsidRPr="003653E6">
        <w:rPr>
          <w:rFonts w:ascii="Arial" w:eastAsiaTheme="majorEastAsia" w:hAnsi="Arial" w:cs="Arial"/>
          <w:color w:val="000000"/>
          <w:position w:val="-6"/>
          <w:sz w:val="20"/>
          <w:szCs w:val="20"/>
        </w:rPr>
        <w:t>Vantiamo 75 anni di esperienza nella ricerca basata su dati raccolti in 205 paesi. Il nostro team globale fa luce sulle scelte politiche attraverso benchmark, analisi dell’impatto economico e sociale, white paper, previsioni e modelli di scenario.</w:t>
      </w:r>
    </w:p>
    <w:p w14:paraId="1B693DD4" w14:textId="77777777" w:rsidR="00A169EC" w:rsidRPr="003653E6" w:rsidRDefault="00085143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0"/>
          <w:szCs w:val="20"/>
        </w:rPr>
      </w:pPr>
      <w:hyperlink r:id="rId18" w:history="1">
        <w:r w:rsidRPr="003653E6">
          <w:rPr>
            <w:rStyle w:val="Hyperlink"/>
            <w:rFonts w:ascii="Arial" w:eastAsiaTheme="majorEastAsia" w:hAnsi="Arial" w:cs="Arial"/>
            <w:b/>
            <w:bCs/>
            <w:position w:val="-6"/>
            <w:sz w:val="20"/>
            <w:szCs w:val="20"/>
          </w:rPr>
          <w:t>SAS</w:t>
        </w:r>
      </w:hyperlink>
      <w:r w:rsidRPr="003653E6">
        <w:rPr>
          <w:rFonts w:ascii="Arial" w:eastAsiaTheme="majorEastAsia" w:hAnsi="Arial" w:cs="Arial"/>
          <w:color w:val="000000"/>
          <w:position w:val="-6"/>
          <w:sz w:val="20"/>
          <w:szCs w:val="20"/>
        </w:rPr>
        <w:t xml:space="preserve"> </w:t>
      </w:r>
    </w:p>
    <w:p w14:paraId="63D60946" w14:textId="304D2AA1" w:rsidR="00A169EC" w:rsidRPr="003653E6" w:rsidRDefault="00085143" w:rsidP="00A169EC">
      <w:pPr>
        <w:pStyle w:val="paragraph"/>
        <w:jc w:val="both"/>
        <w:textAlignment w:val="baseline"/>
        <w:rPr>
          <w:rFonts w:ascii="Arial" w:eastAsiaTheme="majorEastAsia" w:hAnsi="Arial" w:cs="Arial"/>
          <w:color w:val="000000"/>
          <w:position w:val="-6"/>
          <w:sz w:val="20"/>
          <w:szCs w:val="20"/>
        </w:rPr>
      </w:pPr>
      <w:r w:rsidRPr="003653E6">
        <w:rPr>
          <w:rFonts w:ascii="Arial" w:eastAsiaTheme="majorEastAsia" w:hAnsi="Arial" w:cs="Arial"/>
          <w:color w:val="000000"/>
          <w:position w:val="-6"/>
          <w:sz w:val="20"/>
          <w:szCs w:val="20"/>
        </w:rPr>
        <w:t>SAS è tra i leader mondiali nell’intelligenza artificiale e nei dati. Grazie al software SAS e a soluzioni specifiche per ogni settore, ogni azienda può trasformare velocemente i dati in decisioni affidabili. Con SAS hai THE POWER TO KNOW®.</w:t>
      </w:r>
      <w:r w:rsidR="00A169EC" w:rsidRPr="003653E6">
        <w:rPr>
          <w:position w:val="-6"/>
        </w:rPr>
        <w:t xml:space="preserve"> </w:t>
      </w:r>
    </w:p>
    <w:p w14:paraId="175AE47E" w14:textId="77777777" w:rsidR="00BC1D1F" w:rsidRPr="003653E6" w:rsidRDefault="00BC1D1F" w:rsidP="00BC1D1F">
      <w:pPr>
        <w:spacing w:line="276" w:lineRule="auto"/>
        <w:jc w:val="both"/>
        <w:rPr>
          <w:rFonts w:ascii="Arial" w:eastAsia="Arial" w:hAnsi="Arial" w:cs="Arial"/>
          <w:position w:val="-6"/>
          <w:sz w:val="20"/>
          <w:szCs w:val="20"/>
        </w:rPr>
      </w:pPr>
    </w:p>
    <w:p w14:paraId="14FC6F3F" w14:textId="77777777" w:rsidR="00BC1D1F" w:rsidRPr="003653E6" w:rsidRDefault="00BC1D1F" w:rsidP="00BC1D1F">
      <w:pPr>
        <w:spacing w:line="276" w:lineRule="auto"/>
        <w:jc w:val="both"/>
        <w:rPr>
          <w:rFonts w:ascii="Arial" w:eastAsia="Arial" w:hAnsi="Arial" w:cs="Arial"/>
          <w:position w:val="-6"/>
          <w:sz w:val="20"/>
          <w:szCs w:val="20"/>
        </w:rPr>
      </w:pPr>
    </w:p>
    <w:p w14:paraId="3A0BCD30" w14:textId="4A865A21" w:rsidR="00BC1D1F" w:rsidRPr="003653E6" w:rsidRDefault="00BC1D1F" w:rsidP="00D21C87">
      <w:pPr>
        <w:spacing w:line="276" w:lineRule="auto"/>
        <w:jc w:val="both"/>
        <w:rPr>
          <w:rFonts w:ascii="Arial" w:hAnsi="Arial" w:cs="Arial"/>
          <w:position w:val="-6"/>
          <w:sz w:val="16"/>
          <w:szCs w:val="16"/>
        </w:rPr>
      </w:pPr>
      <w:r w:rsidRPr="003653E6">
        <w:rPr>
          <w:rFonts w:ascii="Arial" w:eastAsia="Arial" w:hAnsi="Arial" w:cs="Arial"/>
          <w:i/>
          <w:iCs/>
          <w:position w:val="-6"/>
          <w:sz w:val="16"/>
          <w:szCs w:val="16"/>
        </w:rPr>
        <w:t>SAS e tutti gli altri nomi di prodotti o servizi di SAS Institute Inc. sono marchi registrati o marchi di SAS Institute Inc. negli Stati Uniti e in altri Paesi. ® indica la registrazione negli USA. Altri nomi di marchi e prodotti sono marchi delle rispettive società. Copyright © 2023 SAS Institute Inc. Tutti i diritti riservati.</w:t>
      </w:r>
    </w:p>
    <w:sectPr w:rsidR="00BC1D1F" w:rsidRPr="003653E6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1BD3" w14:textId="77777777" w:rsidR="00CE622A" w:rsidRDefault="00CE622A" w:rsidP="00BC1D1F">
      <w:r>
        <w:separator/>
      </w:r>
    </w:p>
  </w:endnote>
  <w:endnote w:type="continuationSeparator" w:id="0">
    <w:p w14:paraId="496CED60" w14:textId="77777777" w:rsidR="00CE622A" w:rsidRDefault="00CE622A" w:rsidP="00BC1D1F">
      <w:r>
        <w:continuationSeparator/>
      </w:r>
    </w:p>
  </w:endnote>
  <w:endnote w:type="continuationNotice" w:id="1">
    <w:p w14:paraId="625A6BD3" w14:textId="77777777" w:rsidR="00CE622A" w:rsidRDefault="00CE6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8997C5" w14:paraId="6D608E4C" w14:textId="77777777" w:rsidTr="338997C5">
      <w:trPr>
        <w:trHeight w:val="300"/>
      </w:trPr>
      <w:tc>
        <w:tcPr>
          <w:tcW w:w="3210" w:type="dxa"/>
        </w:tcPr>
        <w:p w14:paraId="45D6A87A" w14:textId="46D245DD" w:rsidR="338997C5" w:rsidRDefault="338997C5" w:rsidP="338997C5">
          <w:pPr>
            <w:pStyle w:val="Header"/>
            <w:ind w:left="-115"/>
          </w:pPr>
        </w:p>
      </w:tc>
      <w:tc>
        <w:tcPr>
          <w:tcW w:w="3210" w:type="dxa"/>
        </w:tcPr>
        <w:p w14:paraId="5C99FFFC" w14:textId="0B39BA68" w:rsidR="338997C5" w:rsidRDefault="338997C5" w:rsidP="338997C5">
          <w:pPr>
            <w:pStyle w:val="Header"/>
            <w:jc w:val="center"/>
          </w:pPr>
        </w:p>
      </w:tc>
      <w:tc>
        <w:tcPr>
          <w:tcW w:w="3210" w:type="dxa"/>
        </w:tcPr>
        <w:p w14:paraId="0834F778" w14:textId="7D65659B" w:rsidR="338997C5" w:rsidRDefault="338997C5" w:rsidP="338997C5">
          <w:pPr>
            <w:pStyle w:val="Header"/>
            <w:ind w:right="-115"/>
            <w:jc w:val="right"/>
          </w:pPr>
        </w:p>
      </w:tc>
    </w:tr>
  </w:tbl>
  <w:p w14:paraId="7B751AB5" w14:textId="160C4F63" w:rsidR="338997C5" w:rsidRDefault="338997C5" w:rsidP="33899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7046" w14:textId="77777777" w:rsidR="00CE622A" w:rsidRDefault="00CE622A" w:rsidP="00BC1D1F">
      <w:r>
        <w:separator/>
      </w:r>
    </w:p>
  </w:footnote>
  <w:footnote w:type="continuationSeparator" w:id="0">
    <w:p w14:paraId="428FF0E5" w14:textId="77777777" w:rsidR="00CE622A" w:rsidRDefault="00CE622A" w:rsidP="00BC1D1F">
      <w:r>
        <w:continuationSeparator/>
      </w:r>
    </w:p>
  </w:footnote>
  <w:footnote w:type="continuationNotice" w:id="1">
    <w:p w14:paraId="109E2C69" w14:textId="77777777" w:rsidR="00CE622A" w:rsidRDefault="00CE6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5468" w14:textId="5FCAD47C" w:rsidR="00BC1D1F" w:rsidRPr="00085143" w:rsidRDefault="00085143" w:rsidP="00085143">
    <w:pPr>
      <w:pBdr>
        <w:bottom w:val="single" w:sz="4" w:space="1" w:color="999999"/>
      </w:pBdr>
      <w:tabs>
        <w:tab w:val="right" w:pos="10440"/>
      </w:tabs>
      <w:jc w:val="right"/>
      <w:rPr>
        <w:rFonts w:ascii="Arial" w:hAnsi="Arial" w:cs="Arial"/>
        <w:b/>
        <w:color w:val="000000"/>
      </w:rPr>
    </w:pPr>
    <w:r>
      <w:rPr>
        <w:b/>
        <w:noProof/>
        <w:color w:val="999999"/>
        <w:sz w:val="28"/>
        <w:szCs w:val="28"/>
      </w:rPr>
      <w:drawing>
        <wp:anchor distT="0" distB="0" distL="114300" distR="114300" simplePos="0" relativeHeight="251660288" behindDoc="1" locked="0" layoutInCell="1" allowOverlap="1" wp14:anchorId="69DA08CB" wp14:editId="393B80E2">
          <wp:simplePos x="0" y="0"/>
          <wp:positionH relativeFrom="column">
            <wp:posOffset>-23495</wp:posOffset>
          </wp:positionH>
          <wp:positionV relativeFrom="paragraph">
            <wp:posOffset>-142875</wp:posOffset>
          </wp:positionV>
          <wp:extent cx="2017776" cy="466344"/>
          <wp:effectExtent l="0" t="0" r="1905" b="0"/>
          <wp:wrapNone/>
          <wp:docPr id="3" name="Picture 3" descr="A black letter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letter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776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999999"/>
        <w:sz w:val="28"/>
        <w:szCs w:val="28"/>
      </w:rPr>
      <w:t xml:space="preserve">  </w:t>
    </w:r>
    <w:r>
      <w:rPr>
        <w:b/>
        <w:color w:val="999999"/>
        <w:sz w:val="28"/>
        <w:szCs w:val="28"/>
      </w:rPr>
      <w:br/>
    </w:r>
    <w:r>
      <w:rPr>
        <w:b/>
        <w:color w:val="999999"/>
        <w:sz w:val="28"/>
        <w:szCs w:val="28"/>
      </w:rPr>
      <w:br/>
    </w:r>
    <w:r>
      <w:rPr>
        <w:rFonts w:ascii="Arial" w:hAnsi="Arial" w:cs="Arial"/>
        <w:b/>
        <w:color w:val="000000"/>
      </w:rPr>
      <w:t>NEWS</w:t>
    </w:r>
    <w:r w:rsidRPr="0013592E">
      <w:rPr>
        <w:rFonts w:ascii="Arial" w:hAnsi="Arial" w:cs="Arial"/>
        <w:b/>
        <w:color w:val="000000"/>
      </w:rPr>
      <w:t xml:space="preserve"> RELEASE</w:t>
    </w:r>
  </w:p>
  <w:p w14:paraId="2DBCF11E" w14:textId="77777777" w:rsidR="00BC1D1F" w:rsidRDefault="00BC1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6D7"/>
    <w:multiLevelType w:val="hybridMultilevel"/>
    <w:tmpl w:val="0D20E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42"/>
    <w:multiLevelType w:val="hybridMultilevel"/>
    <w:tmpl w:val="66288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5FD"/>
    <w:multiLevelType w:val="hybridMultilevel"/>
    <w:tmpl w:val="C8645842"/>
    <w:lvl w:ilvl="0" w:tplc="30B26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98A"/>
    <w:multiLevelType w:val="hybridMultilevel"/>
    <w:tmpl w:val="BA608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8D2"/>
    <w:multiLevelType w:val="hybridMultilevel"/>
    <w:tmpl w:val="754C6F38"/>
    <w:lvl w:ilvl="0" w:tplc="2CD43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B886"/>
    <w:multiLevelType w:val="hybridMultilevel"/>
    <w:tmpl w:val="FFFFFFFF"/>
    <w:lvl w:ilvl="0" w:tplc="DE840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A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CA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E1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A6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E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2E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B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22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3E83"/>
    <w:multiLevelType w:val="hybridMultilevel"/>
    <w:tmpl w:val="D7101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82C92"/>
    <w:multiLevelType w:val="hybridMultilevel"/>
    <w:tmpl w:val="3F32D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8AE"/>
    <w:multiLevelType w:val="multilevel"/>
    <w:tmpl w:val="D92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C49CE"/>
    <w:multiLevelType w:val="multilevel"/>
    <w:tmpl w:val="24C6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D06F0"/>
    <w:multiLevelType w:val="hybridMultilevel"/>
    <w:tmpl w:val="0E868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44523"/>
    <w:multiLevelType w:val="hybridMultilevel"/>
    <w:tmpl w:val="3F32D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328A8"/>
    <w:multiLevelType w:val="hybridMultilevel"/>
    <w:tmpl w:val="FB5EE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5BDD"/>
    <w:multiLevelType w:val="hybridMultilevel"/>
    <w:tmpl w:val="ECFC368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39BE6509"/>
    <w:multiLevelType w:val="hybridMultilevel"/>
    <w:tmpl w:val="8E8283AC"/>
    <w:lvl w:ilvl="0" w:tplc="1B56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8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9CF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3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4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6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3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07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0D31"/>
    <w:multiLevelType w:val="hybridMultilevel"/>
    <w:tmpl w:val="762E2948"/>
    <w:lvl w:ilvl="0" w:tplc="310C05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0E8"/>
    <w:multiLevelType w:val="multilevel"/>
    <w:tmpl w:val="31F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C2361"/>
    <w:multiLevelType w:val="hybridMultilevel"/>
    <w:tmpl w:val="3F32D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C5947"/>
    <w:multiLevelType w:val="hybridMultilevel"/>
    <w:tmpl w:val="9036D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7549E"/>
    <w:multiLevelType w:val="hybridMultilevel"/>
    <w:tmpl w:val="92728CCA"/>
    <w:lvl w:ilvl="0" w:tplc="A50C4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61337B"/>
    <w:multiLevelType w:val="hybridMultilevel"/>
    <w:tmpl w:val="3F32D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5947"/>
    <w:multiLevelType w:val="hybridMultilevel"/>
    <w:tmpl w:val="224884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53313"/>
    <w:multiLevelType w:val="hybridMultilevel"/>
    <w:tmpl w:val="37D2D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8798C"/>
    <w:multiLevelType w:val="hybridMultilevel"/>
    <w:tmpl w:val="9F82EFAE"/>
    <w:lvl w:ilvl="0" w:tplc="D7D00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811EC"/>
    <w:multiLevelType w:val="hybridMultilevel"/>
    <w:tmpl w:val="FC7E0C70"/>
    <w:lvl w:ilvl="0" w:tplc="1C183A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74E46"/>
    <w:multiLevelType w:val="hybridMultilevel"/>
    <w:tmpl w:val="3F32D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46AAC"/>
    <w:multiLevelType w:val="hybridMultilevel"/>
    <w:tmpl w:val="C8645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765E5"/>
    <w:multiLevelType w:val="hybridMultilevel"/>
    <w:tmpl w:val="224884CC"/>
    <w:lvl w:ilvl="0" w:tplc="2A0A1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0475">
    <w:abstractNumId w:val="23"/>
  </w:num>
  <w:num w:numId="2" w16cid:durableId="784618101">
    <w:abstractNumId w:val="24"/>
  </w:num>
  <w:num w:numId="3" w16cid:durableId="28578640">
    <w:abstractNumId w:val="10"/>
  </w:num>
  <w:num w:numId="4" w16cid:durableId="1913541155">
    <w:abstractNumId w:val="22"/>
  </w:num>
  <w:num w:numId="5" w16cid:durableId="917405089">
    <w:abstractNumId w:val="3"/>
  </w:num>
  <w:num w:numId="6" w16cid:durableId="1835993759">
    <w:abstractNumId w:val="7"/>
  </w:num>
  <w:num w:numId="7" w16cid:durableId="639070276">
    <w:abstractNumId w:val="25"/>
  </w:num>
  <w:num w:numId="8" w16cid:durableId="109782490">
    <w:abstractNumId w:val="17"/>
  </w:num>
  <w:num w:numId="9" w16cid:durableId="903757568">
    <w:abstractNumId w:val="20"/>
  </w:num>
  <w:num w:numId="10" w16cid:durableId="486434574">
    <w:abstractNumId w:val="11"/>
  </w:num>
  <w:num w:numId="11" w16cid:durableId="1228766928">
    <w:abstractNumId w:val="27"/>
  </w:num>
  <w:num w:numId="12" w16cid:durableId="1208948980">
    <w:abstractNumId w:val="21"/>
  </w:num>
  <w:num w:numId="13" w16cid:durableId="636567882">
    <w:abstractNumId w:val="2"/>
  </w:num>
  <w:num w:numId="14" w16cid:durableId="476802816">
    <w:abstractNumId w:val="26"/>
  </w:num>
  <w:num w:numId="15" w16cid:durableId="194512123">
    <w:abstractNumId w:val="18"/>
  </w:num>
  <w:num w:numId="16" w16cid:durableId="1457984412">
    <w:abstractNumId w:val="0"/>
  </w:num>
  <w:num w:numId="17" w16cid:durableId="344599337">
    <w:abstractNumId w:val="1"/>
  </w:num>
  <w:num w:numId="18" w16cid:durableId="552229581">
    <w:abstractNumId w:val="12"/>
  </w:num>
  <w:num w:numId="19" w16cid:durableId="2091343759">
    <w:abstractNumId w:val="19"/>
  </w:num>
  <w:num w:numId="20" w16cid:durableId="963847401">
    <w:abstractNumId w:val="13"/>
  </w:num>
  <w:num w:numId="21" w16cid:durableId="1080444638">
    <w:abstractNumId w:val="5"/>
  </w:num>
  <w:num w:numId="22" w16cid:durableId="1128278885">
    <w:abstractNumId w:val="14"/>
  </w:num>
  <w:num w:numId="23" w16cid:durableId="104277521">
    <w:abstractNumId w:val="16"/>
  </w:num>
  <w:num w:numId="24" w16cid:durableId="293414597">
    <w:abstractNumId w:val="8"/>
  </w:num>
  <w:num w:numId="25" w16cid:durableId="945430164">
    <w:abstractNumId w:val="9"/>
  </w:num>
  <w:num w:numId="26" w16cid:durableId="39017082">
    <w:abstractNumId w:val="15"/>
  </w:num>
  <w:num w:numId="27" w16cid:durableId="1062482700">
    <w:abstractNumId w:val="6"/>
  </w:num>
  <w:num w:numId="28" w16cid:durableId="183136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CB"/>
    <w:rsid w:val="000003CF"/>
    <w:rsid w:val="000022EF"/>
    <w:rsid w:val="000072E9"/>
    <w:rsid w:val="00012C63"/>
    <w:rsid w:val="00015E9A"/>
    <w:rsid w:val="00016A2D"/>
    <w:rsid w:val="000173C1"/>
    <w:rsid w:val="000305F6"/>
    <w:rsid w:val="00033C96"/>
    <w:rsid w:val="00052667"/>
    <w:rsid w:val="00062743"/>
    <w:rsid w:val="00072D78"/>
    <w:rsid w:val="00073314"/>
    <w:rsid w:val="0008230E"/>
    <w:rsid w:val="0008393B"/>
    <w:rsid w:val="00085143"/>
    <w:rsid w:val="00085BDE"/>
    <w:rsid w:val="00085F9F"/>
    <w:rsid w:val="0008733D"/>
    <w:rsid w:val="000877ED"/>
    <w:rsid w:val="00093D86"/>
    <w:rsid w:val="0009638D"/>
    <w:rsid w:val="00096EFB"/>
    <w:rsid w:val="000A3EC8"/>
    <w:rsid w:val="000B626C"/>
    <w:rsid w:val="000D4416"/>
    <w:rsid w:val="000E7A68"/>
    <w:rsid w:val="000F1BDB"/>
    <w:rsid w:val="000F68C2"/>
    <w:rsid w:val="00100161"/>
    <w:rsid w:val="001012EA"/>
    <w:rsid w:val="00101514"/>
    <w:rsid w:val="001017E5"/>
    <w:rsid w:val="00102027"/>
    <w:rsid w:val="001043DE"/>
    <w:rsid w:val="00106C21"/>
    <w:rsid w:val="00110A4D"/>
    <w:rsid w:val="00122134"/>
    <w:rsid w:val="00124BD2"/>
    <w:rsid w:val="001272C1"/>
    <w:rsid w:val="0013226A"/>
    <w:rsid w:val="00137519"/>
    <w:rsid w:val="00143BA0"/>
    <w:rsid w:val="00151BBD"/>
    <w:rsid w:val="00155BD8"/>
    <w:rsid w:val="00155DC3"/>
    <w:rsid w:val="0016702A"/>
    <w:rsid w:val="00167C78"/>
    <w:rsid w:val="00173A48"/>
    <w:rsid w:val="00174A63"/>
    <w:rsid w:val="00177041"/>
    <w:rsid w:val="00182FDB"/>
    <w:rsid w:val="0018352A"/>
    <w:rsid w:val="001B685F"/>
    <w:rsid w:val="001C5472"/>
    <w:rsid w:val="001D3A95"/>
    <w:rsid w:val="001E27C3"/>
    <w:rsid w:val="001E5A52"/>
    <w:rsid w:val="001E639D"/>
    <w:rsid w:val="0021656B"/>
    <w:rsid w:val="002169FF"/>
    <w:rsid w:val="00220AE0"/>
    <w:rsid w:val="00221AA4"/>
    <w:rsid w:val="002240FC"/>
    <w:rsid w:val="00234B8A"/>
    <w:rsid w:val="002504D7"/>
    <w:rsid w:val="002730F9"/>
    <w:rsid w:val="00273788"/>
    <w:rsid w:val="00276E7D"/>
    <w:rsid w:val="00277695"/>
    <w:rsid w:val="00280D9C"/>
    <w:rsid w:val="00296C6F"/>
    <w:rsid w:val="002A086B"/>
    <w:rsid w:val="002A1D51"/>
    <w:rsid w:val="002D0BF3"/>
    <w:rsid w:val="002D4789"/>
    <w:rsid w:val="002D4EF6"/>
    <w:rsid w:val="002E0F68"/>
    <w:rsid w:val="002E66F1"/>
    <w:rsid w:val="002F6AED"/>
    <w:rsid w:val="00302072"/>
    <w:rsid w:val="00312CB7"/>
    <w:rsid w:val="003375A6"/>
    <w:rsid w:val="00347053"/>
    <w:rsid w:val="00355E61"/>
    <w:rsid w:val="00356FF2"/>
    <w:rsid w:val="00363867"/>
    <w:rsid w:val="003653E6"/>
    <w:rsid w:val="00372E88"/>
    <w:rsid w:val="00380526"/>
    <w:rsid w:val="00381A71"/>
    <w:rsid w:val="003931AB"/>
    <w:rsid w:val="003A102C"/>
    <w:rsid w:val="003C4D94"/>
    <w:rsid w:val="003D6243"/>
    <w:rsid w:val="003E1DCA"/>
    <w:rsid w:val="003E348C"/>
    <w:rsid w:val="0041219F"/>
    <w:rsid w:val="004122EF"/>
    <w:rsid w:val="0042045D"/>
    <w:rsid w:val="004304DC"/>
    <w:rsid w:val="00441846"/>
    <w:rsid w:val="0044244C"/>
    <w:rsid w:val="00444C57"/>
    <w:rsid w:val="00451F6C"/>
    <w:rsid w:val="004608F8"/>
    <w:rsid w:val="0047561B"/>
    <w:rsid w:val="00476F3C"/>
    <w:rsid w:val="00485A1E"/>
    <w:rsid w:val="00487749"/>
    <w:rsid w:val="004B0457"/>
    <w:rsid w:val="004B7D6B"/>
    <w:rsid w:val="004C0EE1"/>
    <w:rsid w:val="004C40ED"/>
    <w:rsid w:val="004D02D5"/>
    <w:rsid w:val="004E771F"/>
    <w:rsid w:val="004F2083"/>
    <w:rsid w:val="00502F8F"/>
    <w:rsid w:val="005049C5"/>
    <w:rsid w:val="005119C2"/>
    <w:rsid w:val="005267A1"/>
    <w:rsid w:val="0055335D"/>
    <w:rsid w:val="00556B6C"/>
    <w:rsid w:val="00557FB8"/>
    <w:rsid w:val="00561F49"/>
    <w:rsid w:val="00562B08"/>
    <w:rsid w:val="0056308E"/>
    <w:rsid w:val="0056646D"/>
    <w:rsid w:val="00580DA3"/>
    <w:rsid w:val="00580FE7"/>
    <w:rsid w:val="00591D1B"/>
    <w:rsid w:val="00593890"/>
    <w:rsid w:val="005A50FA"/>
    <w:rsid w:val="005D1328"/>
    <w:rsid w:val="005F0451"/>
    <w:rsid w:val="00603DDB"/>
    <w:rsid w:val="006116DF"/>
    <w:rsid w:val="00611941"/>
    <w:rsid w:val="00615A12"/>
    <w:rsid w:val="0063272B"/>
    <w:rsid w:val="0063518F"/>
    <w:rsid w:val="00641688"/>
    <w:rsid w:val="00645D4F"/>
    <w:rsid w:val="00646D52"/>
    <w:rsid w:val="006477DC"/>
    <w:rsid w:val="0066671F"/>
    <w:rsid w:val="0067410D"/>
    <w:rsid w:val="00674415"/>
    <w:rsid w:val="00675D0A"/>
    <w:rsid w:val="006811F7"/>
    <w:rsid w:val="0068244E"/>
    <w:rsid w:val="00682D4C"/>
    <w:rsid w:val="0068390A"/>
    <w:rsid w:val="00693C1E"/>
    <w:rsid w:val="006A13AB"/>
    <w:rsid w:val="006A4F71"/>
    <w:rsid w:val="006A527E"/>
    <w:rsid w:val="006B0790"/>
    <w:rsid w:val="006C04AD"/>
    <w:rsid w:val="006C0ADE"/>
    <w:rsid w:val="006C3564"/>
    <w:rsid w:val="006C3AF4"/>
    <w:rsid w:val="006C6178"/>
    <w:rsid w:val="006E77E0"/>
    <w:rsid w:val="0070434F"/>
    <w:rsid w:val="00707C38"/>
    <w:rsid w:val="00712F53"/>
    <w:rsid w:val="00722B4A"/>
    <w:rsid w:val="00722DD5"/>
    <w:rsid w:val="00733FCC"/>
    <w:rsid w:val="00734E02"/>
    <w:rsid w:val="007401F9"/>
    <w:rsid w:val="00754503"/>
    <w:rsid w:val="00756D78"/>
    <w:rsid w:val="0076687F"/>
    <w:rsid w:val="00782918"/>
    <w:rsid w:val="00782FB1"/>
    <w:rsid w:val="00784808"/>
    <w:rsid w:val="00784941"/>
    <w:rsid w:val="0079664D"/>
    <w:rsid w:val="007A7F57"/>
    <w:rsid w:val="007C1F74"/>
    <w:rsid w:val="007E1D37"/>
    <w:rsid w:val="00800DF1"/>
    <w:rsid w:val="0080396C"/>
    <w:rsid w:val="0081125F"/>
    <w:rsid w:val="0082479E"/>
    <w:rsid w:val="008340F7"/>
    <w:rsid w:val="00865659"/>
    <w:rsid w:val="0086595C"/>
    <w:rsid w:val="008663D2"/>
    <w:rsid w:val="00873481"/>
    <w:rsid w:val="00873F9D"/>
    <w:rsid w:val="0088713B"/>
    <w:rsid w:val="0088724C"/>
    <w:rsid w:val="0089386F"/>
    <w:rsid w:val="008A1632"/>
    <w:rsid w:val="008A6763"/>
    <w:rsid w:val="008B0388"/>
    <w:rsid w:val="008B7E2E"/>
    <w:rsid w:val="008C0A6C"/>
    <w:rsid w:val="008C16AB"/>
    <w:rsid w:val="008D036E"/>
    <w:rsid w:val="008E00A4"/>
    <w:rsid w:val="008E3F3A"/>
    <w:rsid w:val="008E655A"/>
    <w:rsid w:val="008F3600"/>
    <w:rsid w:val="008F6F93"/>
    <w:rsid w:val="00901D57"/>
    <w:rsid w:val="00914F33"/>
    <w:rsid w:val="00916692"/>
    <w:rsid w:val="00920272"/>
    <w:rsid w:val="009245BB"/>
    <w:rsid w:val="0092497E"/>
    <w:rsid w:val="00927015"/>
    <w:rsid w:val="0093032E"/>
    <w:rsid w:val="00934552"/>
    <w:rsid w:val="0093724C"/>
    <w:rsid w:val="00941ACA"/>
    <w:rsid w:val="00943483"/>
    <w:rsid w:val="00963AF6"/>
    <w:rsid w:val="00964BC2"/>
    <w:rsid w:val="0097111F"/>
    <w:rsid w:val="009745E2"/>
    <w:rsid w:val="00976B28"/>
    <w:rsid w:val="00990BDE"/>
    <w:rsid w:val="009B55CB"/>
    <w:rsid w:val="009C24FB"/>
    <w:rsid w:val="009C2D88"/>
    <w:rsid w:val="009E0B46"/>
    <w:rsid w:val="009F7192"/>
    <w:rsid w:val="00A07763"/>
    <w:rsid w:val="00A11643"/>
    <w:rsid w:val="00A14868"/>
    <w:rsid w:val="00A169EC"/>
    <w:rsid w:val="00A23A5F"/>
    <w:rsid w:val="00A31BBA"/>
    <w:rsid w:val="00A35A46"/>
    <w:rsid w:val="00A461C5"/>
    <w:rsid w:val="00A6063C"/>
    <w:rsid w:val="00A625D9"/>
    <w:rsid w:val="00A72714"/>
    <w:rsid w:val="00A80B5E"/>
    <w:rsid w:val="00A86592"/>
    <w:rsid w:val="00A94312"/>
    <w:rsid w:val="00AA7656"/>
    <w:rsid w:val="00AB182B"/>
    <w:rsid w:val="00AC75F2"/>
    <w:rsid w:val="00AD0397"/>
    <w:rsid w:val="00AE5482"/>
    <w:rsid w:val="00AE7F0D"/>
    <w:rsid w:val="00B07668"/>
    <w:rsid w:val="00B079C9"/>
    <w:rsid w:val="00B22798"/>
    <w:rsid w:val="00B26019"/>
    <w:rsid w:val="00B26399"/>
    <w:rsid w:val="00B26988"/>
    <w:rsid w:val="00B33994"/>
    <w:rsid w:val="00B37669"/>
    <w:rsid w:val="00B40BDF"/>
    <w:rsid w:val="00B55182"/>
    <w:rsid w:val="00B558F7"/>
    <w:rsid w:val="00B67BE6"/>
    <w:rsid w:val="00B73353"/>
    <w:rsid w:val="00B74A88"/>
    <w:rsid w:val="00B765F7"/>
    <w:rsid w:val="00BC14EB"/>
    <w:rsid w:val="00BC1D1F"/>
    <w:rsid w:val="00BD6986"/>
    <w:rsid w:val="00BE032F"/>
    <w:rsid w:val="00BE13E2"/>
    <w:rsid w:val="00BF4820"/>
    <w:rsid w:val="00BF6239"/>
    <w:rsid w:val="00C010B5"/>
    <w:rsid w:val="00C05672"/>
    <w:rsid w:val="00C21128"/>
    <w:rsid w:val="00C31516"/>
    <w:rsid w:val="00C3557F"/>
    <w:rsid w:val="00C4719E"/>
    <w:rsid w:val="00C47A41"/>
    <w:rsid w:val="00C54D47"/>
    <w:rsid w:val="00C610A0"/>
    <w:rsid w:val="00C61135"/>
    <w:rsid w:val="00C7487C"/>
    <w:rsid w:val="00C9350C"/>
    <w:rsid w:val="00C9565B"/>
    <w:rsid w:val="00C97CB4"/>
    <w:rsid w:val="00CA1385"/>
    <w:rsid w:val="00CA4D51"/>
    <w:rsid w:val="00CB45D3"/>
    <w:rsid w:val="00CC0072"/>
    <w:rsid w:val="00CC3DB8"/>
    <w:rsid w:val="00CC570B"/>
    <w:rsid w:val="00CD0E64"/>
    <w:rsid w:val="00CD0EEF"/>
    <w:rsid w:val="00CD629E"/>
    <w:rsid w:val="00CD6DB8"/>
    <w:rsid w:val="00CD7B35"/>
    <w:rsid w:val="00CE622A"/>
    <w:rsid w:val="00CF1E8D"/>
    <w:rsid w:val="00CF4747"/>
    <w:rsid w:val="00CF71DA"/>
    <w:rsid w:val="00D13398"/>
    <w:rsid w:val="00D21C87"/>
    <w:rsid w:val="00D27724"/>
    <w:rsid w:val="00D56992"/>
    <w:rsid w:val="00D63697"/>
    <w:rsid w:val="00D8222F"/>
    <w:rsid w:val="00D82B5C"/>
    <w:rsid w:val="00D913A5"/>
    <w:rsid w:val="00D93077"/>
    <w:rsid w:val="00DA2A1C"/>
    <w:rsid w:val="00DB4038"/>
    <w:rsid w:val="00DC2D18"/>
    <w:rsid w:val="00DC7160"/>
    <w:rsid w:val="00DC7B60"/>
    <w:rsid w:val="00DD41F4"/>
    <w:rsid w:val="00DD5ADE"/>
    <w:rsid w:val="00DD76D0"/>
    <w:rsid w:val="00DF36E1"/>
    <w:rsid w:val="00DF5C68"/>
    <w:rsid w:val="00E45E8C"/>
    <w:rsid w:val="00E503BE"/>
    <w:rsid w:val="00E55569"/>
    <w:rsid w:val="00E80E2D"/>
    <w:rsid w:val="00E91AFE"/>
    <w:rsid w:val="00E91F37"/>
    <w:rsid w:val="00E96595"/>
    <w:rsid w:val="00EA2105"/>
    <w:rsid w:val="00EA38F1"/>
    <w:rsid w:val="00EB5E72"/>
    <w:rsid w:val="00EB6CEB"/>
    <w:rsid w:val="00EB7238"/>
    <w:rsid w:val="00EC0881"/>
    <w:rsid w:val="00EC0995"/>
    <w:rsid w:val="00ED2166"/>
    <w:rsid w:val="00EE2DEF"/>
    <w:rsid w:val="00EE4FDA"/>
    <w:rsid w:val="00EF10ED"/>
    <w:rsid w:val="00EF3823"/>
    <w:rsid w:val="00EF78FB"/>
    <w:rsid w:val="00F22754"/>
    <w:rsid w:val="00F23094"/>
    <w:rsid w:val="00F34F2C"/>
    <w:rsid w:val="00F47F50"/>
    <w:rsid w:val="00F51D82"/>
    <w:rsid w:val="00F606DF"/>
    <w:rsid w:val="00F62B7F"/>
    <w:rsid w:val="00F62DB8"/>
    <w:rsid w:val="00F64613"/>
    <w:rsid w:val="00F723BC"/>
    <w:rsid w:val="00F75516"/>
    <w:rsid w:val="00F75F66"/>
    <w:rsid w:val="00F766FE"/>
    <w:rsid w:val="00F839EC"/>
    <w:rsid w:val="00F85AC4"/>
    <w:rsid w:val="00F92D7B"/>
    <w:rsid w:val="00F941D8"/>
    <w:rsid w:val="00F953C9"/>
    <w:rsid w:val="00FA2D4A"/>
    <w:rsid w:val="00FA6179"/>
    <w:rsid w:val="00FA6396"/>
    <w:rsid w:val="00FA6B24"/>
    <w:rsid w:val="00FB0A35"/>
    <w:rsid w:val="00FB0C8E"/>
    <w:rsid w:val="00FC2716"/>
    <w:rsid w:val="00FC6F1D"/>
    <w:rsid w:val="00FD4F2F"/>
    <w:rsid w:val="00FD7D8A"/>
    <w:rsid w:val="00FE2C92"/>
    <w:rsid w:val="00FF4CB7"/>
    <w:rsid w:val="3389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490A2"/>
  <w15:chartTrackingRefBased/>
  <w15:docId w15:val="{2F0BFBA3-4CE5-4558-9951-409DEE23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5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D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D1F"/>
  </w:style>
  <w:style w:type="paragraph" w:styleId="Footer">
    <w:name w:val="footer"/>
    <w:basedOn w:val="Normal"/>
    <w:link w:val="FooterChar"/>
    <w:uiPriority w:val="99"/>
    <w:unhideWhenUsed/>
    <w:rsid w:val="00BC1D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1F"/>
  </w:style>
  <w:style w:type="character" w:styleId="Hyperlink">
    <w:name w:val="Hyperlink"/>
    <w:basedOn w:val="DefaultParagraphFont"/>
    <w:uiPriority w:val="99"/>
    <w:unhideWhenUsed/>
    <w:rsid w:val="00C54D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D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2083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12F53"/>
    <w:rPr>
      <w:b/>
      <w:bCs/>
    </w:rPr>
  </w:style>
  <w:style w:type="character" w:styleId="Emphasis">
    <w:name w:val="Emphasis"/>
    <w:basedOn w:val="DefaultParagraphFont"/>
    <w:uiPriority w:val="20"/>
    <w:qFormat/>
    <w:rsid w:val="00712F53"/>
    <w:rPr>
      <w:i/>
      <w:iCs/>
    </w:rPr>
  </w:style>
  <w:style w:type="paragraph" w:styleId="Revision">
    <w:name w:val="Revision"/>
    <w:hidden/>
    <w:uiPriority w:val="99"/>
    <w:semiHidden/>
    <w:rsid w:val="00556B6C"/>
  </w:style>
  <w:style w:type="character" w:styleId="FollowedHyperlink">
    <w:name w:val="FollowedHyperlink"/>
    <w:basedOn w:val="DefaultParagraphFont"/>
    <w:uiPriority w:val="99"/>
    <w:semiHidden/>
    <w:unhideWhenUsed/>
    <w:rsid w:val="002D4789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39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630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normaltextrun">
    <w:name w:val="normaltextrun"/>
    <w:basedOn w:val="DefaultParagraphFont"/>
    <w:rsid w:val="0056308E"/>
  </w:style>
  <w:style w:type="character" w:customStyle="1" w:styleId="eop">
    <w:name w:val="eop"/>
    <w:basedOn w:val="DefaultParagraphFont"/>
    <w:rsid w:val="0056308E"/>
  </w:style>
  <w:style w:type="character" w:customStyle="1" w:styleId="scxw262357914">
    <w:name w:val="scxw262357914"/>
    <w:basedOn w:val="DefaultParagraphFont"/>
    <w:rsid w:val="0056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.com/en_us/solutions/fraud-security-intelligence.html" TargetMode="External"/><Relationship Id="rId18" Type="http://schemas.openxmlformats.org/officeDocument/2006/relationships/hyperlink" Target="http://www.sas.com/abou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as.com/en_us/insights/analytics/generative-ai.html" TargetMode="External"/><Relationship Id="rId17" Type="http://schemas.openxmlformats.org/officeDocument/2006/relationships/hyperlink" Target="https://impact.economis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s.com/bankingsurve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s.com/intelligent-bank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s.com/en_us/solutions/risk-management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75A03DEFA444FBA67B8504C344AE6" ma:contentTypeVersion="9" ma:contentTypeDescription="Create a new document." ma:contentTypeScope="" ma:versionID="c4c57bbdfcddbd0d6614c6b1f16aee3e">
  <xsd:schema xmlns:xsd="http://www.w3.org/2001/XMLSchema" xmlns:xs="http://www.w3.org/2001/XMLSchema" xmlns:p="http://schemas.microsoft.com/office/2006/metadata/properties" xmlns:ns2="12e5f8c0-cee7-4117-a260-6fb1ed4d85b9" xmlns:ns3="0F0D3DD9-107D-4296-8404-660278DA2281" xmlns:ns4="0f0d3dd9-107d-4296-8404-660278da2281" targetNamespace="http://schemas.microsoft.com/office/2006/metadata/properties" ma:root="true" ma:fieldsID="8a2721214909a2005b76eaed3c76d049" ns2:_="" ns3:_="" ns4:_="">
    <xsd:import namespace="12e5f8c0-cee7-4117-a260-6fb1ed4d85b9"/>
    <xsd:import namespace="0F0D3DD9-107D-4296-8404-660278DA2281"/>
    <xsd:import namespace="0f0d3dd9-107d-4296-8404-660278da22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90EB31-EC72-4089-9B55-B83D90BB1744}" ma:internalName="TaxCatchAll" ma:showField="CatchAllData" ma:web="{354758fd-20c8-4b78-8761-8169fa8cbce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3DD9-107D-4296-8404-660278DA2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3dd9-107d-4296-8404-660278da2281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d3dd9-107d-4296-8404-660278da2281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Props1.xml><?xml version="1.0" encoding="utf-8"?>
<ds:datastoreItem xmlns:ds="http://schemas.openxmlformats.org/officeDocument/2006/customXml" ds:itemID="{C1473137-93D7-448E-95BB-62453A75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0F0D3DD9-107D-4296-8404-660278DA2281"/>
    <ds:schemaRef ds:uri="0f0d3dd9-107d-4296-8404-660278da2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9CD85-F320-2849-BB0D-144B4AE02A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05612-E175-4643-BBBD-EF85FE26F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9BC36-ADC2-438A-97EE-3FE5EB1BF70B}">
  <ds:schemaRefs>
    <ds:schemaRef ds:uri="http://schemas.microsoft.com/office/2006/metadata/properties"/>
    <ds:schemaRef ds:uri="http://schemas.microsoft.com/office/infopath/2007/PartnerControls"/>
    <ds:schemaRef ds:uri="0f0d3dd9-107d-4296-8404-660278da2281"/>
    <ds:schemaRef ds:uri="12e5f8c0-cee7-4117-a260-6fb1ed4d85b9"/>
  </ds:schemaRefs>
</ds:datastoreItem>
</file>

<file path=docMetadata/LabelInfo.xml><?xml version="1.0" encoding="utf-8"?>
<clbl:labelList xmlns:clbl="http://schemas.microsoft.com/office/2020/mipLabelMetadata">
  <clbl:label id="{633cbf82-b979-478d-8f42-ffc892e59dc3}" enabled="0" method="" siteId="{633cbf82-b979-478d-8f42-ffc892e59d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Links>
    <vt:vector size="18" baseType="variant">
      <vt:variant>
        <vt:i4>6815748</vt:i4>
      </vt:variant>
      <vt:variant>
        <vt:i4>6</vt:i4>
      </vt:variant>
      <vt:variant>
        <vt:i4>0</vt:i4>
      </vt:variant>
      <vt:variant>
        <vt:i4>5</vt:i4>
      </vt:variant>
      <vt:variant>
        <vt:lpwstr>https://www.sas.com/it_it/company-information.html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https://www.sas.com/en/offers/curiosity-benchmark-interactive-experience.html</vt:lpwstr>
      </vt:variant>
      <vt:variant>
        <vt:lpwstr>quiz</vt:lpwstr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https://www.sas.com/en/offers/genai-research.html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Garbin</dc:creator>
  <cp:keywords/>
  <dc:description/>
  <cp:lastModifiedBy>Lorenzo Borghi</cp:lastModifiedBy>
  <cp:revision>16</cp:revision>
  <cp:lastPrinted>2025-01-24T02:38:00Z</cp:lastPrinted>
  <dcterms:created xsi:type="dcterms:W3CDTF">2025-07-18T09:47:00Z</dcterms:created>
  <dcterms:modified xsi:type="dcterms:W3CDTF">2025-07-18T10:11:00Z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0x010100A5475A03DEFA444FBA67B8504C344AE6</vt:lpwstr>
  </property>
  <property fmtid="{D5CDD505-2E9C-101B-9397-08002B2CF9AE}" pid="3" name="MediaServiceImageTags">
    <vt:lpwstr/>
  </property>
</Properties>
</file>