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80" w:before="0" w:line="276" w:lineRule="auto"/>
        <w:ind w:right="0"/>
        <w:jc w:val="left"/>
        <w:rPr/>
      </w:pPr>
      <w:bookmarkStart w:colFirst="0" w:colLast="0" w:name="_yzzjtbvk4vo9" w:id="0"/>
      <w:bookmarkEnd w:id="0"/>
      <w:r w:rsidDel="00000000" w:rsidR="00000000" w:rsidRPr="00000000">
        <w:rPr>
          <w:rtl w:val="0"/>
        </w:rPr>
        <w:t xml:space="preserve">Nowy kontrakt z Ministerstwem Funduszy i Polityki Regionalnej wzmacnia pozycję Britenet w sektorze publicznym</w:t>
      </w:r>
    </w:p>
    <w:p w:rsidR="00000000" w:rsidDel="00000000" w:rsidP="00000000" w:rsidRDefault="00000000" w:rsidRPr="00000000" w14:paraId="00000002">
      <w:pPr>
        <w:pStyle w:val="Heading3"/>
        <w:spacing w:after="240" w:before="240" w:line="276" w:lineRule="auto"/>
        <w:jc w:val="left"/>
        <w:rPr/>
      </w:pPr>
      <w:bookmarkStart w:colFirst="0" w:colLast="0" w:name="_mpu5w9ljgbg4" w:id="1"/>
      <w:bookmarkEnd w:id="1"/>
      <w:r w:rsidDel="00000000" w:rsidR="00000000" w:rsidRPr="00000000">
        <w:rPr>
          <w:rtl w:val="0"/>
        </w:rPr>
        <w:t xml:space="preserve">Britenet umacnia swoją pozycję jako kluczowy partner technologiczny administracji publicznej w Polsce. Firma właśnie podpisała nową umowę z Ministerstwem Funduszy i Polityki Regionalnej, wygrywając kolejne postępowanie przetargowe. To ważny kontrakt, który nie tylko potwierdza wieloletnie doświadczenie Britenet w sektorze publicznym, ale także rozszerza rolę Britenet we wspieraniu rozwoju transformacji cyfrowej w sektorze administracji publicznej.</w:t>
      </w:r>
    </w:p>
    <w:p w:rsidR="00000000" w:rsidDel="00000000" w:rsidP="00000000" w:rsidRDefault="00000000" w:rsidRPr="00000000" w14:paraId="00000003">
      <w:pPr>
        <w:pStyle w:val="Heading2"/>
        <w:spacing w:after="240" w:before="240" w:line="276" w:lineRule="auto"/>
        <w:jc w:val="left"/>
        <w:rPr/>
      </w:pPr>
      <w:bookmarkStart w:colFirst="0" w:colLast="0" w:name="_jmh9rqjx8vz4" w:id="2"/>
      <w:bookmarkEnd w:id="2"/>
      <w:r w:rsidDel="00000000" w:rsidR="00000000" w:rsidRPr="00000000">
        <w:rPr>
          <w:rtl w:val="0"/>
        </w:rPr>
        <w:t xml:space="preserve">Technologiczne fundamenty dla efektywnej polityki społecznej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 ramach umowy Britenet dokona migracji Systemu Monitorowania Europejskiego Funduszu Społecznego (SM EFS) do bezpieczniejszej i wydajniejszej infrastruktury, zapewni stabilność systemu, stałe wsparcie techniczne oraz dostosuje platformę do zmieniających się wymogów prawnych i organizacyjnych. SM EFS to jedno z kluczowych narzędzi wspierających zarządzanie środkami unijnymi w Polsce, dlatego jego sprawne funkcjonowanie ma bezpośredni wpływ na efektywne wykorzystywanie funduszy społecznych.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„Dla Britenet to nie tylko kolejny projekt, ale realny wpływ na sprawność wykorzystania środków unijnych w Polsce. SM EFS to system o dużym znaczeniu społecznym i cieszymy się, że zostaliśmy obdarzeni zaufaniem przy jego rozwoju i utrzymaniu” – mówi Michał Borny, CEO Britenet. „Zespół odpowiedzialny za ten projekt po raz kolejny udowodnił, że potrafimy odpowiadać na potrzeby sektora publicznego z dużą precyzją i zrozumieniem. To wynik naszej konsekwencji, doświadczenia i świetnej współpracy z resortem” – dodaje.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before="280" w:line="276" w:lineRule="auto"/>
        <w:jc w:val="left"/>
        <w:rPr/>
      </w:pPr>
      <w:bookmarkStart w:colFirst="0" w:colLast="0" w:name="_sqysrly4e0t4" w:id="3"/>
      <w:bookmarkEnd w:id="3"/>
      <w:r w:rsidDel="00000000" w:rsidR="00000000" w:rsidRPr="00000000">
        <w:rPr>
          <w:rtl w:val="0"/>
        </w:rPr>
        <w:t xml:space="preserve">Równolegle – coraz mocniejsza obecność w Europie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Nowa umowa z MFiPR to nie jedyny tegoroczny sukces firmy. Niedawno Britenet został wybrany jako jeden z wykonawców prestiżowego przetargu unijnej agencji Frontex, obejmującego czteroletnie umowy ramowe na świadczenie usług IT w całej Europie.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To potwierdzenie, że Britenet skutecznie łączy wzrost w Europie z utrzymywaniem silnej pozycji w kraju. “Nie wybieramy między rynkiem krajowym a zagranicznym. Działamy na obu poziomach z równą energią i zaangażowaniem. Dla nas istotne są realne efekty – czy to we wdrażaniu funduszy unijnych w Polsce, czy wspieraniu bezpieczeństwa granic Europy z Frontexem. Jesteśmy dumni, że możemy nadal współtworzyć tak istotny system publiczny, który realnie wspiera wykorzystanie środków unijnych w Polsce.” – zauważa Claudia Nieuwland, COO Britenet.</w:t>
      </w:r>
    </w:p>
    <w:p w:rsidR="00000000" w:rsidDel="00000000" w:rsidP="00000000" w:rsidRDefault="00000000" w:rsidRPr="00000000" w14:paraId="00000009">
      <w:pPr>
        <w:spacing w:before="0" w:line="276" w:lineRule="auto"/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vkrjqph3jmv" w:id="4"/>
      <w:bookmarkEnd w:id="4"/>
      <w:r w:rsidDel="00000000" w:rsidR="00000000" w:rsidRPr="00000000">
        <w:rPr>
          <w:rtl w:val="0"/>
        </w:rPr>
        <w:t xml:space="preserve">O Britenet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Britenet to zaufany europejski partner IT dostarczający wysoce skuteczne, przełomowe rozwiązania w zakresie oprogramowania. Z zespołem prawie 1000 specjalistów Britenet oferuje spersonalizowane usługi w zakresie rozwoju oprogramowania, CRM oraz danych i sztucznej inteligencji – ze szczególnym uwzględnieniem doświadczenia w zakresie Salesforce. Pomagamy organizacjom zwiększyć konkurencyjność, obniżyć koszty i poprawić jakość obsługi klienta.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Nasi klienci obejmują kluczowe sektory, takie jak bankowość i ubezpieczenia, handel detaliczny i logistyka oraz sektor publiczny – współpracując z nami w celu poprawy wydajności operacyjnej, modernizacji starszych systemów i napędzania innowacji.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Założona 20 lat temu firma Britenet wspiera klientów przez cały cykl życia projektu – od analizy i projektowania po wdrożenie, testowanie i bieżące wsparcie.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Zaufały nam takie organizacje, jak Generali, Education First, AerCap i europejskie instytucje publiczne. Britenet dostarcza technologię, która napędza strategiczne cele i długoterminowy sukces.</w:t>
      </w:r>
    </w:p>
    <w:p w:rsidR="00000000" w:rsidDel="00000000" w:rsidP="00000000" w:rsidRDefault="00000000" w:rsidRPr="00000000" w14:paraId="0000000F">
      <w:pPr>
        <w:spacing w:after="240" w:before="240" w:line="276" w:lineRule="auto"/>
        <w:jc w:val="left"/>
        <w:rPr>
          <w:rFonts w:ascii="Inter SemiBold" w:cs="Inter SemiBold" w:eastAsia="Inter SemiBold" w:hAnsi="Inter SemiBold"/>
          <w:sz w:val="24"/>
          <w:szCs w:val="24"/>
        </w:rPr>
      </w:pPr>
      <w:r w:rsidDel="00000000" w:rsidR="00000000" w:rsidRPr="00000000">
        <w:rPr>
          <w:rFonts w:ascii="Inter SemiBold" w:cs="Inter SemiBold" w:eastAsia="Inter SemiBold" w:hAnsi="Inter SemiBold"/>
          <w:sz w:val="24"/>
          <w:szCs w:val="24"/>
          <w:rtl w:val="0"/>
        </w:rPr>
        <w:t xml:space="preserve">Kontakt dla mediów: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Małgorzata Garnek-Dudek</w:t>
        <w:br w:type="textWrapping"/>
        <w:t xml:space="preserve">PR &amp; Communication Leader</w:t>
        <w:br w:type="textWrapping"/>
        <w:t xml:space="preserve">+48 539 016 451</w:t>
        <w:br w:type="textWrapping"/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malgorzata.garnek-dudek@britenet.eu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40" w:top="1800" w:left="849.5999999999999" w:right="849.5999999999999" w:header="720" w:footer="74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0"/>
      <w:jc w:val="both"/>
      <w:rPr>
        <w:rFonts w:ascii="IBM Plex Sans" w:cs="IBM Plex Sans" w:eastAsia="IBM Plex Sans" w:hAnsi="IBM Plex Sans"/>
        <w:b w:val="0"/>
        <w:i w:val="0"/>
        <w:smallCaps w:val="0"/>
        <w:strike w:val="0"/>
        <w:color w:val="43434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40" w:before="0" w:line="240" w:lineRule="auto"/>
      <w:ind w:left="0" w:right="-618" w:firstLine="0"/>
      <w:jc w:val="right"/>
      <w:rPr>
        <w:rFonts w:ascii="Inter Medium" w:cs="Inter Medium" w:eastAsia="Inter Medium" w:hAnsi="Inter Medium"/>
        <w:i w:val="0"/>
        <w:smallCaps w:val="0"/>
        <w:strike w:val="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Medium" w:cs="Inter Medium" w:eastAsia="Inter Medium" w:hAnsi="Inter Medium"/>
        <w:rtl w:val="0"/>
      </w:rPr>
      <w:t xml:space="preserve">1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6553200</wp:posOffset>
          </wp:positionH>
          <wp:positionV relativeFrom="paragraph">
            <wp:posOffset>266700</wp:posOffset>
          </wp:positionV>
          <wp:extent cx="201083" cy="48834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083" cy="4883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101601</wp:posOffset>
              </wp:positionH>
              <wp:positionV relativeFrom="paragraph">
                <wp:posOffset>0</wp:posOffset>
              </wp:positionV>
              <wp:extent cx="254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989379" y="3633950"/>
                        <a:ext cx="0" cy="42291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rnd" cmpd="sng" w="25400">
                        <a:solidFill>
                          <a:srgbClr val="FFFFFF"/>
                        </a:solidFill>
                        <a:prstDash val="dashDot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101601</wp:posOffset>
              </wp:positionH>
              <wp:positionV relativeFrom="paragraph">
                <wp:posOffset>0</wp:posOffset>
              </wp:positionV>
              <wp:extent cx="2540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2070" w:right="-620" w:firstLine="0"/>
      <w:jc w:val="left"/>
      <w:rPr>
        <w:rFonts w:ascii="Inter Medium" w:cs="Inter Medium" w:eastAsia="Inter Medium" w:hAnsi="Inter Medium"/>
        <w:color w:val="374ea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>
        <w:rFonts w:ascii="Open Sans Light" w:cs="Open Sans Light" w:eastAsia="Open Sans Light" w:hAnsi="Open Sans Light"/>
        <w:sz w:val="14"/>
        <w:szCs w:val="14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widowControl w:val="0"/>
      <w:spacing w:before="200" w:line="240" w:lineRule="auto"/>
      <w:jc w:val="left"/>
      <w:rPr>
        <w:rFonts w:ascii="IBM Plex Sans" w:cs="IBM Plex Sans" w:eastAsia="IBM Plex Sans" w:hAnsi="IBM Plex Sans"/>
        <w:b w:val="0"/>
        <w:i w:val="0"/>
        <w:smallCaps w:val="0"/>
        <w:strike w:val="0"/>
        <w:color w:val="f1f2f2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0"/>
      <w:jc w:val="both"/>
      <w:rPr>
        <w:rFonts w:ascii="IBM Plex Sans" w:cs="IBM Plex Sans" w:eastAsia="IBM Plex Sans" w:hAnsi="IBM Plex Sans"/>
        <w:b w:val="0"/>
        <w:i w:val="0"/>
        <w:smallCaps w:val="0"/>
        <w:strike w:val="0"/>
        <w:color w:val="43434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-36575</wp:posOffset>
          </wp:positionH>
          <wp:positionV relativeFrom="page">
            <wp:posOffset>0</wp:posOffset>
          </wp:positionV>
          <wp:extent cx="7610475" cy="10006013"/>
          <wp:effectExtent b="0" l="0" r="0" t="0"/>
          <wp:wrapNone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6137" l="0" r="0" t="3690"/>
                  <a:stretch>
                    <a:fillRect/>
                  </a:stretch>
                </pic:blipFill>
                <pic:spPr>
                  <a:xfrm>
                    <a:off x="0" y="0"/>
                    <a:ext cx="7610475" cy="100060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9010650</wp:posOffset>
          </wp:positionV>
          <wp:extent cx="6288984" cy="558800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88984" cy="5588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0"/>
      <w:jc w:val="both"/>
      <w:rPr>
        <w:rFonts w:ascii="IBM Plex Sans" w:cs="IBM Plex Sans" w:eastAsia="IBM Plex Sans" w:hAnsi="IBM Plex Sans"/>
        <w:b w:val="0"/>
        <w:i w:val="0"/>
        <w:smallCaps w:val="0"/>
        <w:strike w:val="0"/>
        <w:color w:val="43434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-352424</wp:posOffset>
          </wp:positionH>
          <wp:positionV relativeFrom="paragraph">
            <wp:posOffset>4219575</wp:posOffset>
          </wp:positionV>
          <wp:extent cx="2151846" cy="943040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1846" cy="943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333843"/>
        <w:lang w:val="en"/>
      </w:rPr>
    </w:rPrDefault>
    <w:pPrDefault>
      <w:pPr>
        <w:spacing w:before="12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1"/>
      <w:spacing w:after="400" w:before="1200" w:lineRule="auto"/>
    </w:pPr>
    <w:rPr>
      <w:b w:val="1"/>
      <w:color w:val="374ea2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lineRule="auto"/>
    </w:pPr>
    <w:rPr>
      <w:b w:val="1"/>
      <w:color w:val="333843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Rule="auto"/>
    </w:pPr>
    <w:rPr>
      <w:rFonts w:ascii="Inter SemiBold" w:cs="Inter SemiBold" w:eastAsia="Inter SemiBold" w:hAnsi="Inter SemiBol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ind w:left="-450" w:right="-690"/>
    </w:pPr>
    <w:rPr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000" w:line="216" w:lineRule="auto"/>
      <w:ind w:right="-133.33333333333331"/>
      <w:jc w:val="left"/>
    </w:pPr>
    <w:rPr>
      <w:rFonts w:ascii="Inter SemiBold" w:cs="Inter SemiBold" w:eastAsia="Inter SemiBold" w:hAnsi="Inter SemiBold"/>
      <w:color w:val="ffffff"/>
      <w:sz w:val="136"/>
      <w:szCs w:val="136"/>
    </w:rPr>
  </w:style>
  <w:style w:type="paragraph" w:styleId="Subtitle">
    <w:name w:val="Subtitle"/>
    <w:basedOn w:val="Normal"/>
    <w:next w:val="Normal"/>
    <w:pPr>
      <w:keepNext w:val="1"/>
      <w:keepLines w:val="1"/>
      <w:spacing w:before="200" w:line="240" w:lineRule="auto"/>
      <w:jc w:val="left"/>
    </w:pPr>
    <w:rPr>
      <w:color w:val="ffffff"/>
      <w:sz w:val="44"/>
      <w:szCs w:val="4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malgorzata.garnek-dudek@britenet.eu" TargetMode="Externa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3" Type="http://schemas.openxmlformats.org/officeDocument/2006/relationships/font" Target="fonts/InterMedium-regular.ttf"/><Relationship Id="rId12" Type="http://schemas.openxmlformats.org/officeDocument/2006/relationships/font" Target="fonts/Inter-bold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Inter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7" Type="http://schemas.openxmlformats.org/officeDocument/2006/relationships/font" Target="fonts/OpenSansLight-regular.ttf"/><Relationship Id="rId16" Type="http://schemas.openxmlformats.org/officeDocument/2006/relationships/font" Target="fonts/InterMedium-boldItalic.ttf"/><Relationship Id="rId5" Type="http://schemas.openxmlformats.org/officeDocument/2006/relationships/font" Target="fonts/InterSemiBold-regular.ttf"/><Relationship Id="rId19" Type="http://schemas.openxmlformats.org/officeDocument/2006/relationships/font" Target="fonts/OpenSansLight-italic.ttf"/><Relationship Id="rId6" Type="http://schemas.openxmlformats.org/officeDocument/2006/relationships/font" Target="fonts/InterSemiBold-bold.ttf"/><Relationship Id="rId18" Type="http://schemas.openxmlformats.org/officeDocument/2006/relationships/font" Target="fonts/OpenSansLight-bold.ttf"/><Relationship Id="rId7" Type="http://schemas.openxmlformats.org/officeDocument/2006/relationships/font" Target="fonts/InterSemiBold-italic.ttf"/><Relationship Id="rId8" Type="http://schemas.openxmlformats.org/officeDocument/2006/relationships/font" Target="fonts/Inter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