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AEE0" w14:textId="5B80FE79" w:rsidR="00EB3AE5" w:rsidRPr="00EB3AE5" w:rsidRDefault="00EB3AE5" w:rsidP="00A5130E">
      <w:pPr>
        <w:spacing w:line="240" w:lineRule="auto"/>
        <w:rPr>
          <w:rFonts w:ascii="Noto Sans" w:hAnsi="Noto Sans" w:cs="Noto Sans"/>
          <w:sz w:val="24"/>
          <w:szCs w:val="24"/>
          <w:lang w:val="pt-PT"/>
        </w:rPr>
      </w:pPr>
      <w:r w:rsidRPr="00EB3AE5">
        <w:rPr>
          <w:rFonts w:ascii="Noto Sans" w:hAnsi="Noto Sans" w:cs="Noto Sans"/>
          <w:b/>
          <w:bCs/>
          <w:sz w:val="24"/>
          <w:szCs w:val="24"/>
          <w:lang w:val="pt-PT"/>
        </w:rPr>
        <w:t>Novas Soluções para a Indústria das Ciências da Vida: Domino Expande o Seu Portfólio com o Lançamento de Dois Novos Produtos Inovadores</w:t>
      </w:r>
    </w:p>
    <w:p w14:paraId="7977A97C" w14:textId="77777777" w:rsidR="00EB3AE5" w:rsidRPr="00EB3AE5" w:rsidRDefault="00EB3AE5" w:rsidP="00A5130E">
      <w:pPr>
        <w:spacing w:line="240" w:lineRule="auto"/>
        <w:rPr>
          <w:rFonts w:ascii="Noto Sans" w:hAnsi="Noto Sans" w:cs="Noto Sans"/>
          <w:sz w:val="24"/>
          <w:szCs w:val="24"/>
          <w:lang w:val="pt-PT"/>
        </w:rPr>
      </w:pPr>
    </w:p>
    <w:p w14:paraId="57148D7E" w14:textId="6DB8FF1A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A </w:t>
      </w:r>
      <w:hyperlink r:id="rId7" w:history="1">
        <w:r w:rsidRPr="00196465">
          <w:rPr>
            <w:rStyle w:val="Hyperlink"/>
            <w:rFonts w:ascii="Noto Sans" w:hAnsi="Noto Sans" w:cs="Noto Sans"/>
            <w:sz w:val="20"/>
            <w:szCs w:val="20"/>
            <w:lang w:val="pt-PT"/>
          </w:rPr>
          <w:t>Domino Printing Sciences</w:t>
        </w:r>
      </w:hyperlink>
      <w:r w:rsidRPr="00EB3AE5">
        <w:rPr>
          <w:rFonts w:ascii="Noto Sans" w:hAnsi="Noto Sans" w:cs="Noto Sans"/>
          <w:sz w:val="20"/>
          <w:szCs w:val="20"/>
          <w:lang w:val="pt-PT"/>
        </w:rPr>
        <w:t xml:space="preserve"> (Domino), especialista de confiança em soluções avançadas de impressão de dados variáveis, reforça o seu compromisso em apoiar os fabricantes globais do setor das ciências da vida face aos requisitos regulatórios em constante evolução, com o lançamento de dois novos produtos inovadores.</w:t>
      </w:r>
    </w:p>
    <w:p w14:paraId="69FD9E5D" w14:textId="77777777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4A84FB22" w14:textId="77777777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A nova impressora piezo inkjet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 xml:space="preserve">K300 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e a gama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Dx-Series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 de codificadores laser CO₂ são as mais recentes adições ao vasto portfólio da Domino. Estas soluções foram desenvolvidas para oferecer aos fabricantes do setor das ciências da vida uma resposta completa e integrada para impressão avançada de dados variáveis, incluindo códigos 2D ao nível de dose e de item individual.</w:t>
      </w:r>
    </w:p>
    <w:p w14:paraId="49E68BF9" w14:textId="77777777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6AA31174" w14:textId="77777777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>“A indústria das ciências da vida é altamente regulada, com requisitos rigorosos de serialização e rastreabilidade para certos produtos, com o objetivo de aumentar a segurança dos pacientes e reduzir o risco de falsificações,” afirma Bart Vansteenkiste, Global Sector Manager - Life Sciences, da Domino. “Apesar da incerteza quanto à evolução futura da regulamentação, é evidente a crescente necessidade de soluções de impressão de dados variáveis que ultrapassem os requisitos atuais, sem comprometer a eficiência das linhas de produção.”</w:t>
      </w:r>
    </w:p>
    <w:p w14:paraId="5CDF4969" w14:textId="77777777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0CE181A2" w14:textId="2C94A088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>Como fornecedor líder em soluções de impressão de dados variáveis, a Domino oferece a gama mais completa de soluções de impressão de alta velocidade e resolução, serialização e verificação de códigos para o setor das ciências da vida. Todas as soluções cumprem os requisitos regulamentares atuais, incluindo impressão e identificação de produtos segundo os padrões globais GS1, captura e verificação de dados, e soluções de rastreabilidade ao longo de toda a cadeia de valor.</w:t>
      </w:r>
    </w:p>
    <w:p w14:paraId="711B425C" w14:textId="77777777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4236EC4F" w14:textId="7D103056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>“Procuramos constantemente expandir e melhorar a nossa oferta de soluções para garantir o suporte contínuo aos nossos clientes. Isso inclui o desenvolvimento de soluções para impressão de códigos 2D de alta velocidade a nível de dose ou item individual,” continua Vansteenkiste. “Embora este nível de detalhe vá além do que é atualmente exigido pela legislação global, a adição de códigos 2D legíveis por scan a nível de dose, com dados variáveis como nome do produto, data de validade e lote, pode ser extremamente útil para evitar erros em ambientes de saúde e farmácia.”</w:t>
      </w:r>
    </w:p>
    <w:p w14:paraId="163ECC42" w14:textId="77777777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50145EFA" w14:textId="3DCDABA6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As novas soluções da Domino para o setor das ciências da vida incluem a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K300</w:t>
      </w:r>
      <w:r w:rsidRPr="00EB3AE5">
        <w:rPr>
          <w:rFonts w:ascii="Noto Sans" w:hAnsi="Noto Sans" w:cs="Noto Sans"/>
          <w:sz w:val="20"/>
          <w:szCs w:val="20"/>
          <w:lang w:val="pt-PT"/>
        </w:rPr>
        <w:t>, uma impressora piezo inkjet de alta velocidade e resolução, ideal para impressão de dados variáveis, incluindo aplicações com códigos 2D em blister foil, filmes flexíveis, papéis médicos como Tyvek e ampolas e frascos monodose tipo blow-fill-seal.</w:t>
      </w:r>
    </w:p>
    <w:p w14:paraId="57C936BB" w14:textId="77777777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388C7337" w14:textId="022EC85D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Adicionalmente, a nova gama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Dx-Series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 de codificadores laser CO₂ oferece codificação rápida e flexível em vários tipos de embalagens, incluindo papel, cartão, vidro, filmes diversos e blisters de plástico. A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Dx-Series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 é adequada para serialização a nível de item em conformidade com </w:t>
      </w:r>
      <w:r w:rsidRPr="00EB3AE5">
        <w:rPr>
          <w:rFonts w:ascii="Noto Sans" w:hAnsi="Noto Sans" w:cs="Noto Sans"/>
          <w:sz w:val="20"/>
          <w:szCs w:val="20"/>
          <w:lang w:val="pt-PT"/>
        </w:rPr>
        <w:lastRenderedPageBreak/>
        <w:t>regulamentos internacionais, bem como para impressão de códigos 2D mais complexos, como QR codes com tecnologia GS1.</w:t>
      </w:r>
    </w:p>
    <w:p w14:paraId="1B506A11" w14:textId="77777777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7F2CC903" w14:textId="284FDFFB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A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K300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 e a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Dx-Series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 foram rigorosamente testadas e aprovadas para utilização no setor das ciências da vida, cumprindo os requisitos da norma 21 CFR part 11 nos EUA e o Annex 11 na Europa. Ambas podem ser instaladas como unidades independentes ou integradas nos sistemas automatizados de codificação e visão da Domino, como parte de uma solução em circuito fechado de impressão e verificação. A Domino também disponibiliza suporte, software e serviços de integração com os sistemas de produção dos fabricantes, incluindo pacotes de validação personalizados.</w:t>
      </w:r>
    </w:p>
    <w:p w14:paraId="560C135E" w14:textId="77777777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3D7D2DC0" w14:textId="77777777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>Estes novos produtos integram a gama alargada de soluções da Domino - do produto à palete - para a indústria das ciências da vida, que inclui ainda:</w:t>
      </w:r>
    </w:p>
    <w:p w14:paraId="24B6038C" w14:textId="77777777" w:rsidR="00EB3AE5" w:rsidRDefault="00EB3AE5" w:rsidP="00A5130E">
      <w:pPr>
        <w:pStyle w:val="ListParagraph"/>
        <w:numPr>
          <w:ilvl w:val="0"/>
          <w:numId w:val="2"/>
        </w:num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Solução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K600G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 para codificação em embalagens blister</w:t>
      </w:r>
    </w:p>
    <w:p w14:paraId="011772C8" w14:textId="77777777" w:rsidR="00EB3AE5" w:rsidRDefault="00EB3AE5" w:rsidP="00A5130E">
      <w:pPr>
        <w:pStyle w:val="ListParagraph"/>
        <w:numPr>
          <w:ilvl w:val="0"/>
          <w:numId w:val="2"/>
        </w:num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Impressoras inkjet térmicas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Gx-Series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 para filmes flexíveis e embalagens de cartão</w:t>
      </w:r>
    </w:p>
    <w:p w14:paraId="242080F5" w14:textId="77777777" w:rsidR="00EB3AE5" w:rsidRDefault="00EB3AE5" w:rsidP="00A5130E">
      <w:pPr>
        <w:pStyle w:val="ListParagraph"/>
        <w:numPr>
          <w:ilvl w:val="0"/>
          <w:numId w:val="2"/>
        </w:num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Laser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UV U510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 para frascos e filmes farmacêuticos de plástico</w:t>
      </w:r>
    </w:p>
    <w:p w14:paraId="74287598" w14:textId="6CC030E4" w:rsidR="00EB3AE5" w:rsidRDefault="00EB3AE5" w:rsidP="00A5130E">
      <w:pPr>
        <w:pStyle w:val="ListParagraph"/>
        <w:numPr>
          <w:ilvl w:val="0"/>
          <w:numId w:val="2"/>
        </w:num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Sistema de print &amp; apply </w:t>
      </w:r>
      <w:r w:rsidRPr="00EB3AE5">
        <w:rPr>
          <w:rFonts w:ascii="Noto Sans" w:hAnsi="Noto Sans" w:cs="Noto Sans"/>
          <w:b/>
          <w:bCs/>
          <w:sz w:val="20"/>
          <w:szCs w:val="20"/>
          <w:lang w:val="pt-PT"/>
        </w:rPr>
        <w:t>Mx-Series</w:t>
      </w:r>
      <w:r w:rsidRPr="00EB3AE5">
        <w:rPr>
          <w:rFonts w:ascii="Noto Sans" w:hAnsi="Noto Sans" w:cs="Noto Sans"/>
          <w:sz w:val="20"/>
          <w:szCs w:val="20"/>
          <w:lang w:val="pt-PT"/>
        </w:rPr>
        <w:t xml:space="preserve"> para etiquetagem em caixas para expedição</w:t>
      </w:r>
    </w:p>
    <w:p w14:paraId="31261C14" w14:textId="77777777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4F342BA6" w14:textId="77777777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>“É com grande satisfação que anunciamos o lançamento das nossas mais recentes soluções para a indústria das ciências da vida,” afirma James Cutforth, Global Head of Regulated Sectors da Domino. “Sabemos que a velocidade e a fiabilidade são cruciais para os nossos clientes deste setor, e estamos empenhados em desenvolver soluções conformes e preparadas para o futuro, capazes de responder a requisitos de codificação em evolução, sem comprometer a eficiência das linhas de produção.”</w:t>
      </w:r>
    </w:p>
    <w:p w14:paraId="4E10DC71" w14:textId="77777777" w:rsid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</w:p>
    <w:p w14:paraId="1F7B5AA5" w14:textId="247A54C2" w:rsidR="00EB3AE5" w:rsidRPr="00EB3AE5" w:rsidRDefault="00EB3AE5" w:rsidP="00A5130E">
      <w:pPr>
        <w:spacing w:line="240" w:lineRule="auto"/>
        <w:rPr>
          <w:rFonts w:ascii="Noto Sans" w:hAnsi="Noto Sans" w:cs="Noto Sans"/>
          <w:sz w:val="20"/>
          <w:szCs w:val="20"/>
          <w:lang w:val="pt-PT"/>
        </w:rPr>
      </w:pPr>
      <w:r w:rsidRPr="00EB3AE5">
        <w:rPr>
          <w:rFonts w:ascii="Noto Sans" w:hAnsi="Noto Sans" w:cs="Noto Sans"/>
          <w:sz w:val="20"/>
          <w:szCs w:val="20"/>
          <w:lang w:val="pt-PT"/>
        </w:rPr>
        <w:t xml:space="preserve">Para mais informações sobre as soluções da Domino para a indústria das ciências da vida, </w:t>
      </w:r>
      <w:hyperlink r:id="rId8" w:history="1">
        <w:r w:rsidRPr="00EB3AE5">
          <w:rPr>
            <w:rStyle w:val="Hyperlink"/>
            <w:rFonts w:ascii="Noto Sans" w:hAnsi="Noto Sans" w:cs="Noto Sans"/>
            <w:sz w:val="20"/>
            <w:szCs w:val="20"/>
            <w:lang w:val="pt-PT"/>
          </w:rPr>
          <w:t>visite o nosso site</w:t>
        </w:r>
      </w:hyperlink>
      <w:r w:rsidRPr="00EB3AE5">
        <w:rPr>
          <w:rFonts w:ascii="Noto Sans" w:hAnsi="Noto Sans" w:cs="Noto Sans"/>
          <w:sz w:val="20"/>
          <w:szCs w:val="20"/>
          <w:lang w:val="pt-PT"/>
        </w:rPr>
        <w:t xml:space="preserve"> ou entre em contacto através do e-mail </w:t>
      </w:r>
      <w:hyperlink r:id="rId9" w:history="1">
        <w:r w:rsidRPr="00EB3AE5">
          <w:rPr>
            <w:rStyle w:val="Hyperlink"/>
            <w:rFonts w:ascii="Noto Sans" w:hAnsi="Noto Sans" w:cs="Noto Sans"/>
            <w:sz w:val="20"/>
            <w:szCs w:val="20"/>
            <w:lang w:val="pt-PT"/>
          </w:rPr>
          <w:t>lifesciences@domino-printing.com</w:t>
        </w:r>
      </w:hyperlink>
      <w:r w:rsidRPr="00EB3AE5">
        <w:rPr>
          <w:rFonts w:ascii="Noto Sans" w:hAnsi="Noto Sans" w:cs="Noto Sans"/>
          <w:sz w:val="20"/>
          <w:szCs w:val="20"/>
          <w:lang w:val="pt-PT"/>
        </w:rPr>
        <w:t xml:space="preserve"> para falar com um dos nossos especialistas.</w:t>
      </w:r>
    </w:p>
    <w:p w14:paraId="4D9EA326" w14:textId="77777777" w:rsidR="00EB3AE5" w:rsidRDefault="00EB3AE5" w:rsidP="00EB3AE5">
      <w:pPr>
        <w:rPr>
          <w:rFonts w:ascii="Noto Sans" w:hAnsi="Noto Sans" w:cs="Noto Sans"/>
          <w:b/>
          <w:bCs/>
          <w:sz w:val="20"/>
          <w:szCs w:val="20"/>
          <w:lang w:val="pt-PT"/>
        </w:rPr>
      </w:pPr>
    </w:p>
    <w:p w14:paraId="5A512F87" w14:textId="4A056FCB" w:rsidR="00EB3AE5" w:rsidRPr="00EB3AE5" w:rsidRDefault="00EB3AE5" w:rsidP="00EB3AE5">
      <w:pPr>
        <w:rPr>
          <w:rFonts w:ascii="Noto Sans" w:hAnsi="Noto Sans" w:cs="Noto Sans"/>
          <w:b/>
          <w:bCs/>
          <w:sz w:val="20"/>
          <w:szCs w:val="20"/>
          <w:lang w:val="pt-PT"/>
        </w:rPr>
      </w:pPr>
      <w:r>
        <w:rPr>
          <w:rFonts w:ascii="Noto Sans" w:hAnsi="Noto Sans" w:cs="Noto Sans"/>
          <w:b/>
          <w:bCs/>
          <w:sz w:val="20"/>
          <w:szCs w:val="20"/>
          <w:lang w:val="pt-PT"/>
        </w:rPr>
        <w:t>&lt;FIM&gt;</w:t>
      </w:r>
    </w:p>
    <w:p w14:paraId="21B5B9B5" w14:textId="77777777" w:rsidR="00A5130E" w:rsidRDefault="00A5130E" w:rsidP="00A5130E">
      <w:pPr>
        <w:spacing w:line="240" w:lineRule="auto"/>
        <w:rPr>
          <w:rFonts w:ascii="Noto Sans" w:hAnsi="Noto Sans" w:cs="Noto Sans"/>
          <w:b/>
          <w:bCs/>
          <w:sz w:val="20"/>
          <w:szCs w:val="20"/>
          <w:lang w:val="pt"/>
        </w:rPr>
      </w:pPr>
      <w:bookmarkStart w:id="0" w:name="_Hlk531088985"/>
    </w:p>
    <w:p w14:paraId="0B6567DE" w14:textId="328E8CA1" w:rsidR="00A5130E" w:rsidRPr="002856FD" w:rsidRDefault="00A5130E" w:rsidP="00A5130E">
      <w:pPr>
        <w:spacing w:line="240" w:lineRule="auto"/>
        <w:rPr>
          <w:rFonts w:ascii="Noto Sans" w:hAnsi="Noto Sans" w:cs="Noto Sans"/>
          <w:sz w:val="20"/>
          <w:szCs w:val="20"/>
          <w:lang w:val="es-ES"/>
        </w:rPr>
      </w:pP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Isenção de responsabilidade</w:t>
      </w:r>
      <w:bookmarkEnd w:id="0"/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Tintas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As informações que se encontram no presente documento não devem substituir a realização dos testes adequados às suas circunstâncias e usos específicos. A Domino Portugal – Tecnologias de Codificação, S.A. e as empresas do grupo Domino não serão, de forma alguma, responsáveis por qualquer tipo de confiança depositada neste documento em relação à adequação de qualquer uma das nossas tintas à sua aplicação em particular. O presente documento não faz parte de quaisquer termos e condições celebrados entre si e a Domino Portugal. Exclusões de responsabilidade v.1.0 Fevereiro 2018. Os Termos e Condições de venda da Domino, em particular as garantias e responsabilidades presentes nos mesmos, dever-se-ão aplicar a qualquer uma das suas compras de produtos.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lastRenderedPageBreak/>
        <w:t>Geral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As informações constantes no presente comunicado de imprensa são consideradas verdadeiras e corretas à data da publicação pela Domino. Qualquer alteração verificada após a data da publicação pode afetar a exatidão destas informações. Todos os valores em termos de desempenho e alegações citados no presente documento foram obtidos sob condições específicas e apenas poderão ser repetidos sob condições semelhantes. Para obter detalhes específicos do produto, deve entrar em contacto com o seu Account Manager da Domino Portugal. O presente documento não faz parte de quaisquer termos e condições celebrados entre si e a Domino Portugal.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Imagens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As imagens podem incluir melhorias ou extras opcionais. A qualidade de impressão pode variar de acordo com os consumíveis, o equipamento, a superfície e outros fatores. As imagens e fotografias não fazem parte de quaisquer termos e condições celebrados entre si e a Domino Portugal.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Vídeos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>Este vídeo é apenas ilustrativo e pode incluir extras opcionais. Os valores relativos ao desempenho foram obtidos sob condições específicas; o desempenho individual pode variar. Os erros e as paragens das linhas de produção podem ser inevitáveis. Nada do que se encontra neste vídeo faz parte de qualquer contrato celebrado entre si e a Domino Portugal.</w:t>
      </w:r>
      <w:r w:rsidRPr="002856FD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2E0B38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2E0B38">
        <w:rPr>
          <w:rFonts w:ascii="Noto Sans" w:eastAsia="Gill Sans" w:hAnsi="Noto Sans" w:cs="Noto Sans"/>
          <w:b/>
          <w:bCs/>
          <w:sz w:val="20"/>
          <w:szCs w:val="20"/>
          <w:lang w:val="pt-PT"/>
        </w:rPr>
        <w:t>Notas para os editores:</w:t>
      </w:r>
      <w:r w:rsidRPr="002E0B38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2E0B38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2856FD">
        <w:rPr>
          <w:rFonts w:ascii="Noto Sans" w:hAnsi="Noto Sans" w:cs="Noto Sans"/>
          <w:b/>
          <w:bCs/>
          <w:color w:val="000000" w:themeColor="text1"/>
          <w:sz w:val="20"/>
          <w:szCs w:val="20"/>
          <w:lang w:val="pt"/>
        </w:rPr>
        <w:t>Acerca da Domino</w:t>
      </w:r>
    </w:p>
    <w:p w14:paraId="4C4E6094" w14:textId="77777777" w:rsidR="00A5130E" w:rsidRPr="002856FD" w:rsidRDefault="00A5130E" w:rsidP="00A5130E">
      <w:pPr>
        <w:spacing w:after="160" w:line="240" w:lineRule="auto"/>
        <w:rPr>
          <w:rFonts w:ascii="Noto Sans" w:hAnsi="Noto Sans" w:cs="Noto Sans"/>
          <w:color w:val="0D0D0D" w:themeColor="text1" w:themeTint="F2"/>
          <w:sz w:val="20"/>
          <w:szCs w:val="20"/>
          <w:lang w:val="pt-PT"/>
        </w:rPr>
      </w:pPr>
      <w:r w:rsidRPr="002856FD">
        <w:rPr>
          <w:rFonts w:ascii="Noto Sans" w:hAnsi="Noto Sans" w:cs="Noto Sans"/>
          <w:sz w:val="20"/>
          <w:szCs w:val="20"/>
          <w:lang w:val="pt"/>
        </w:rPr>
        <w:t xml:space="preserve">Desde 1978, a Domino Printing Sciences (Domino) estabeleceu uma reputação global relativamente ao desenvolvimento e fabrico de tecnologias de codificação, marcação e impressão, revelando um idêntico prestígio nos seus produtos de pós-venda e de apoio ao cliente a nível mundial. Atualmente, a Domino oferece uma das mais abrangentes gamas de soluções de codificação, desenvolvidas com o objetivo de satisfazer os requisitos de conformidade e produtividade dos fabricantes em inúmeros setores, incluindo bebidas, produtos alimentares, farmacêuticos e industriais. As principais tecnologias da empresa incluem sistemas inovadores de impressão a jato de tinta, impressão a laser, impressão e aplicação, e impressão por transferência térmica desenvolvidos para a aplicação de dados variáveis, códigos de barras e códigos de rastreabilidade exclusivos em produtos e embalagens.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  <w:t>A Domino emprega mais de 3 000 pessoas em todo o mundo e comercializa para mais de 120 países através de uma rede global de 29 filiais e mais de 200 distribuidores. As instalações de fabrico da Domino localizam-se na Alemanha, China, EUA, Índia, Reino Unido, Suécia e Suíça.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 Domino tornou-se uma divisão independente da Brother Industries Ltd. a 11 de junho de 2015.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  <w:t>Para obter mais informações sobre a Domino,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visite </w:t>
      </w:r>
      <w:hyperlink r:id="rId10" w:history="1">
        <w:r w:rsidRPr="002856FD">
          <w:rPr>
            <w:rStyle w:val="Hyperlink"/>
            <w:rFonts w:ascii="Noto Sans" w:hAnsi="Noto Sans" w:cs="Noto Sans"/>
            <w:sz w:val="20"/>
            <w:szCs w:val="20"/>
            <w:lang w:val="pt"/>
          </w:rPr>
          <w:t>www.domino-printing.com</w:t>
        </w:r>
      </w:hyperlink>
      <w:r w:rsidRPr="002856FD">
        <w:rPr>
          <w:rFonts w:ascii="Noto Sans" w:hAnsi="Noto Sans" w:cs="Noto Sans"/>
          <w:sz w:val="20"/>
          <w:szCs w:val="20"/>
          <w:lang w:val="pt"/>
        </w:rPr>
        <w:t xml:space="preserve">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lastRenderedPageBreak/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Deverá contactar: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Alex Challinor 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PR and Content Manager 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Domino Printing Sciences 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>Tel.: +44 (0) 1954 778 780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hyperlink r:id="rId11" w:history="1">
        <w:r w:rsidRPr="002856FD">
          <w:rPr>
            <w:rStyle w:val="Hyperlink"/>
            <w:rFonts w:ascii="Noto Sans" w:hAnsi="Noto Sans" w:cs="Noto Sans"/>
            <w:sz w:val="20"/>
            <w:szCs w:val="20"/>
            <w:lang w:val="pt"/>
          </w:rPr>
          <w:t>Alex.Challinor@domino-uk.com</w:t>
        </w:r>
      </w:hyperlink>
    </w:p>
    <w:p w14:paraId="53EB7C38" w14:textId="77777777" w:rsidR="005524DB" w:rsidRPr="00EB3AE5" w:rsidRDefault="005524DB" w:rsidP="00EB3AE5">
      <w:pPr>
        <w:rPr>
          <w:rFonts w:ascii="Noto Sans" w:hAnsi="Noto Sans" w:cs="Noto Sans"/>
          <w:sz w:val="20"/>
          <w:szCs w:val="20"/>
          <w:lang w:val="pt-PT"/>
        </w:rPr>
      </w:pPr>
    </w:p>
    <w:sectPr w:rsidR="005524DB" w:rsidRPr="00EB3AE5" w:rsidSect="000F6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153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D15B" w14:textId="77777777" w:rsidR="009E564D" w:rsidRDefault="009E564D" w:rsidP="00785717">
      <w:pPr>
        <w:spacing w:line="240" w:lineRule="auto"/>
      </w:pPr>
      <w:r>
        <w:separator/>
      </w:r>
    </w:p>
  </w:endnote>
  <w:endnote w:type="continuationSeparator" w:id="0">
    <w:p w14:paraId="1486161E" w14:textId="77777777" w:rsidR="009E564D" w:rsidRDefault="009E564D" w:rsidP="0078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Gill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F32A" w14:textId="77777777" w:rsidR="00EC1C5A" w:rsidRDefault="00EC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23E4" w14:textId="77777777" w:rsidR="00785717" w:rsidRDefault="000F6D00" w:rsidP="007857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1A3A08" wp14:editId="0C311E39">
          <wp:simplePos x="0" y="0"/>
          <wp:positionH relativeFrom="column">
            <wp:posOffset>4953000</wp:posOffset>
          </wp:positionH>
          <wp:positionV relativeFrom="paragraph">
            <wp:posOffset>1231440</wp:posOffset>
          </wp:positionV>
          <wp:extent cx="1466850" cy="139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C15">
      <w:rPr>
        <w:noProof/>
      </w:rPr>
      <w:drawing>
        <wp:anchor distT="0" distB="0" distL="114300" distR="114300" simplePos="0" relativeHeight="251658240" behindDoc="1" locked="0" layoutInCell="1" allowOverlap="1" wp14:anchorId="536137F7" wp14:editId="53ACCE9A">
          <wp:simplePos x="0" y="0"/>
          <wp:positionH relativeFrom="page">
            <wp:posOffset>47625</wp:posOffset>
          </wp:positionH>
          <wp:positionV relativeFrom="page">
            <wp:posOffset>9247505</wp:posOffset>
          </wp:positionV>
          <wp:extent cx="7448550" cy="1259840"/>
          <wp:effectExtent l="0" t="0" r="0" b="0"/>
          <wp:wrapNone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knif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FA95" w14:textId="77777777" w:rsidR="00EC1C5A" w:rsidRDefault="00EC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0F7D1" w14:textId="77777777" w:rsidR="009E564D" w:rsidRDefault="009E564D" w:rsidP="00785717">
      <w:pPr>
        <w:spacing w:line="240" w:lineRule="auto"/>
      </w:pPr>
      <w:r>
        <w:separator/>
      </w:r>
    </w:p>
  </w:footnote>
  <w:footnote w:type="continuationSeparator" w:id="0">
    <w:p w14:paraId="0DC7B38E" w14:textId="77777777" w:rsidR="009E564D" w:rsidRDefault="009E564D" w:rsidP="00785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E0BA" w14:textId="77777777" w:rsidR="00EC1C5A" w:rsidRDefault="00EC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D583" w14:textId="77777777" w:rsidR="000F6D00" w:rsidRDefault="002766D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2D8042" wp14:editId="1D9E5B1D">
          <wp:simplePos x="0" y="0"/>
          <wp:positionH relativeFrom="page">
            <wp:posOffset>228600</wp:posOffset>
          </wp:positionH>
          <wp:positionV relativeFrom="paragraph">
            <wp:posOffset>-972185</wp:posOffset>
          </wp:positionV>
          <wp:extent cx="2781300" cy="109664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20"/>
                  <a:stretch/>
                </pic:blipFill>
                <pic:spPr bwMode="auto">
                  <a:xfrm>
                    <a:off x="0" y="0"/>
                    <a:ext cx="278130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E02A" w14:textId="77777777" w:rsidR="00EC1C5A" w:rsidRDefault="00EC1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F1714"/>
    <w:multiLevelType w:val="hybridMultilevel"/>
    <w:tmpl w:val="FC38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227EA"/>
    <w:multiLevelType w:val="hybridMultilevel"/>
    <w:tmpl w:val="E706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77356">
    <w:abstractNumId w:val="1"/>
  </w:num>
  <w:num w:numId="2" w16cid:durableId="167098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4D"/>
    <w:rsid w:val="0002201E"/>
    <w:rsid w:val="000F6D00"/>
    <w:rsid w:val="00113106"/>
    <w:rsid w:val="00196465"/>
    <w:rsid w:val="001D743C"/>
    <w:rsid w:val="002766D9"/>
    <w:rsid w:val="002C3337"/>
    <w:rsid w:val="00372E92"/>
    <w:rsid w:val="004776BA"/>
    <w:rsid w:val="005272B1"/>
    <w:rsid w:val="005524DB"/>
    <w:rsid w:val="005741C7"/>
    <w:rsid w:val="00647055"/>
    <w:rsid w:val="00660F46"/>
    <w:rsid w:val="00785717"/>
    <w:rsid w:val="008220B7"/>
    <w:rsid w:val="00823B77"/>
    <w:rsid w:val="008916A8"/>
    <w:rsid w:val="008B6461"/>
    <w:rsid w:val="008F3E38"/>
    <w:rsid w:val="00931996"/>
    <w:rsid w:val="009A1716"/>
    <w:rsid w:val="009A1DEC"/>
    <w:rsid w:val="009D6280"/>
    <w:rsid w:val="009E564D"/>
    <w:rsid w:val="00A34918"/>
    <w:rsid w:val="00A5130E"/>
    <w:rsid w:val="00AB11DA"/>
    <w:rsid w:val="00B23C3C"/>
    <w:rsid w:val="00B546C5"/>
    <w:rsid w:val="00BC7C15"/>
    <w:rsid w:val="00C063FE"/>
    <w:rsid w:val="00C44603"/>
    <w:rsid w:val="00C541FE"/>
    <w:rsid w:val="00CF1AD5"/>
    <w:rsid w:val="00E03029"/>
    <w:rsid w:val="00E93759"/>
    <w:rsid w:val="00EB3AE5"/>
    <w:rsid w:val="00EC1C5A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75E0C"/>
  <w15:chartTrackingRefBased/>
  <w15:docId w15:val="{C5FE791E-4976-45BD-8795-31D7E3D9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3C"/>
    <w:pPr>
      <w:spacing w:after="0" w:line="360" w:lineRule="auto"/>
    </w:pPr>
    <w:rPr>
      <w:rFonts w:ascii="Verdana" w:eastAsia="Calibri" w:hAnsi="Verdana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85717"/>
  </w:style>
  <w:style w:type="paragraph" w:styleId="Footer">
    <w:name w:val="footer"/>
    <w:basedOn w:val="Normal"/>
    <w:link w:val="Foot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85717"/>
  </w:style>
  <w:style w:type="character" w:styleId="Hyperlink">
    <w:name w:val="Hyperlink"/>
    <w:basedOn w:val="DefaultParagraphFont"/>
    <w:uiPriority w:val="99"/>
    <w:rsid w:val="001D743C"/>
    <w:rPr>
      <w:color w:val="0000FF"/>
      <w:u w:val="single"/>
    </w:rPr>
  </w:style>
  <w:style w:type="paragraph" w:styleId="NoSpacing">
    <w:name w:val="No Spacing"/>
    <w:uiPriority w:val="1"/>
    <w:qFormat/>
    <w:rsid w:val="001D743C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9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ino-printing.com/pt-pt/sectors/life-sciences?utm_medium=non-paid&amp;utm_source=onlinepublication&amp;utm_content=pr-pt&amp;utm_campaign=2025-int-pt-life-sciences-k300-and-dxseries-pr%09%09%09%09%09%09%09%09%09%09%09%09%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view-domino-printing.cloud.contensis.com/pt/news-and-events/news.aspx?utm_medium=non-paid&amp;utm_source=onlinepublication&amp;utm_content=pr-pt&amp;utm_campaign=2025-int-pt-life-sciences-k300-and-dxseries-pr%09%09%09%09%09%09%09%09%09%09%09%09%0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.Challinor@domino-u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omino-printing.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fesciences@domino-printing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_Taylor-Salazar\AppData\Roaming\Microsoft\Templates\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 and footer</Template>
  <TotalTime>8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Taylor-Salazar</dc:creator>
  <cp:keywords/>
  <dc:description/>
  <cp:lastModifiedBy>Rachael Cooper</cp:lastModifiedBy>
  <cp:revision>4</cp:revision>
  <dcterms:created xsi:type="dcterms:W3CDTF">2025-07-07T14:33:00Z</dcterms:created>
  <dcterms:modified xsi:type="dcterms:W3CDTF">2025-07-07T14:39:00Z</dcterms:modified>
</cp:coreProperties>
</file>