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C8D1" w14:textId="53104825" w:rsidR="00442068" w:rsidRPr="000C7113" w:rsidRDefault="00442068" w:rsidP="00FC75CF">
      <w:pPr>
        <w:spacing w:line="276" w:lineRule="auto"/>
        <w:jc w:val="right"/>
        <w:rPr>
          <w:rFonts w:cs="Arial"/>
        </w:rPr>
      </w:pPr>
      <w:r w:rsidRPr="000C7113">
        <w:rPr>
          <w:rFonts w:cs="Arial"/>
        </w:rPr>
        <w:t xml:space="preserve">Warszawa, </w:t>
      </w:r>
      <w:r w:rsidR="004C5DC3">
        <w:rPr>
          <w:rFonts w:cs="Arial"/>
        </w:rPr>
        <w:t>9</w:t>
      </w:r>
      <w:r w:rsidR="006F62AC" w:rsidRPr="000C7113">
        <w:rPr>
          <w:rFonts w:cs="Arial"/>
        </w:rPr>
        <w:t>.07</w:t>
      </w:r>
      <w:r w:rsidRPr="000C7113">
        <w:rPr>
          <w:rFonts w:cs="Arial"/>
        </w:rPr>
        <w:t>.2025</w:t>
      </w:r>
    </w:p>
    <w:p w14:paraId="29A2354E" w14:textId="77777777" w:rsidR="00442068" w:rsidRPr="000C7113" w:rsidRDefault="00442068" w:rsidP="00FC75CF">
      <w:pPr>
        <w:spacing w:line="276" w:lineRule="auto"/>
        <w:jc w:val="both"/>
        <w:rPr>
          <w:rFonts w:cs="Arial"/>
          <w:b/>
          <w:bCs/>
        </w:rPr>
      </w:pPr>
    </w:p>
    <w:p w14:paraId="0563773A" w14:textId="77777777" w:rsidR="006F117C" w:rsidRPr="000C7113" w:rsidRDefault="006F117C" w:rsidP="00BA4FC6">
      <w:pPr>
        <w:spacing w:line="276" w:lineRule="auto"/>
        <w:jc w:val="both"/>
        <w:rPr>
          <w:rFonts w:cs="Arial"/>
          <w:b/>
          <w:bCs/>
          <w:sz w:val="32"/>
          <w:szCs w:val="32"/>
        </w:rPr>
      </w:pPr>
      <w:r w:rsidRPr="000C7113">
        <w:rPr>
          <w:rFonts w:cs="Arial"/>
          <w:b/>
          <w:bCs/>
          <w:sz w:val="32"/>
          <w:szCs w:val="32"/>
        </w:rPr>
        <w:t>Polskie centra danych stawiają na współpracę z branżą SMR - OSGE i PLDCA tworzą grupę roboczą</w:t>
      </w:r>
    </w:p>
    <w:p w14:paraId="1049754A" w14:textId="1A9322E3" w:rsidR="006F117C" w:rsidRPr="000C7113" w:rsidRDefault="004F0413" w:rsidP="00BA4FC6">
      <w:pPr>
        <w:spacing w:line="276" w:lineRule="auto"/>
        <w:jc w:val="both"/>
        <w:rPr>
          <w:rFonts w:cs="Arial"/>
          <w:b/>
          <w:bCs/>
        </w:rPr>
      </w:pPr>
      <w:r w:rsidRPr="000C7113">
        <w:rPr>
          <w:rFonts w:cs="Arial"/>
          <w:b/>
          <w:bCs/>
        </w:rPr>
        <w:t xml:space="preserve">ORLEN Synthos Green Energy (OSGE) i </w:t>
      </w:r>
      <w:r w:rsidR="006F117C" w:rsidRPr="000C7113">
        <w:rPr>
          <w:rFonts w:cs="Arial"/>
          <w:b/>
          <w:bCs/>
        </w:rPr>
        <w:t xml:space="preserve">Stowarzyszenie </w:t>
      </w:r>
      <w:proofErr w:type="spellStart"/>
      <w:r w:rsidR="003F4BC6" w:rsidRPr="000C7113">
        <w:rPr>
          <w:rFonts w:cs="Arial"/>
          <w:b/>
          <w:bCs/>
        </w:rPr>
        <w:t>Polish</w:t>
      </w:r>
      <w:proofErr w:type="spellEnd"/>
      <w:r w:rsidR="003F4BC6" w:rsidRPr="000C7113">
        <w:rPr>
          <w:rFonts w:cs="Arial"/>
          <w:b/>
          <w:bCs/>
        </w:rPr>
        <w:t xml:space="preserve"> </w:t>
      </w:r>
      <w:r w:rsidR="006F117C" w:rsidRPr="000C7113">
        <w:rPr>
          <w:rFonts w:cs="Arial"/>
          <w:b/>
          <w:bCs/>
        </w:rPr>
        <w:t xml:space="preserve">Data Center </w:t>
      </w:r>
      <w:proofErr w:type="spellStart"/>
      <w:r w:rsidR="003F4BC6" w:rsidRPr="000C7113">
        <w:rPr>
          <w:rFonts w:cs="Arial"/>
          <w:b/>
          <w:bCs/>
        </w:rPr>
        <w:t>Association</w:t>
      </w:r>
      <w:proofErr w:type="spellEnd"/>
      <w:r w:rsidR="003F4BC6" w:rsidRPr="000C7113">
        <w:rPr>
          <w:rFonts w:cs="Arial"/>
          <w:b/>
          <w:bCs/>
        </w:rPr>
        <w:t xml:space="preserve"> </w:t>
      </w:r>
      <w:r w:rsidR="006F117C" w:rsidRPr="000C7113">
        <w:rPr>
          <w:rFonts w:cs="Arial"/>
          <w:b/>
          <w:bCs/>
        </w:rPr>
        <w:t xml:space="preserve">(PLDCA) nawiązały strategiczną współpracę w ramach grupy roboczej ds. </w:t>
      </w:r>
      <w:r w:rsidR="008A01D0" w:rsidRPr="000C7113">
        <w:rPr>
          <w:rFonts w:cs="Arial"/>
          <w:b/>
          <w:bCs/>
        </w:rPr>
        <w:t xml:space="preserve">zasilania centrów danych z </w:t>
      </w:r>
      <w:r w:rsidRPr="000C7113">
        <w:rPr>
          <w:rFonts w:cs="Arial"/>
          <w:b/>
          <w:bCs/>
        </w:rPr>
        <w:t>modułowych reaktorów jądrowych (tzw. SMR)</w:t>
      </w:r>
      <w:r w:rsidR="006F117C" w:rsidRPr="000C7113">
        <w:rPr>
          <w:rFonts w:cs="Arial"/>
          <w:b/>
          <w:bCs/>
        </w:rPr>
        <w:t xml:space="preserve">. Celem partnerstwa jest wypracowanie kompleksowej strategii wykorzystania energii z modułowych reaktorów jądrowych na potrzeby centrów danych w odpowiedzi na dynamicznie rosnące zapotrzebowanie </w:t>
      </w:r>
      <w:r w:rsidR="00F57F67" w:rsidRPr="000C7113">
        <w:rPr>
          <w:rFonts w:cs="Arial"/>
          <w:b/>
          <w:bCs/>
        </w:rPr>
        <w:t xml:space="preserve">na dostępną i stabilną moc </w:t>
      </w:r>
      <w:r w:rsidR="006F117C" w:rsidRPr="000C7113">
        <w:rPr>
          <w:rFonts w:cs="Arial"/>
          <w:b/>
          <w:bCs/>
        </w:rPr>
        <w:t>oraz potrzeby dekarbonizacyjne branży.</w:t>
      </w:r>
    </w:p>
    <w:p w14:paraId="7B8FF006" w14:textId="77777777" w:rsidR="00BA4973" w:rsidRPr="000C7113" w:rsidRDefault="00BA4973" w:rsidP="00BA4FC6">
      <w:pPr>
        <w:spacing w:line="278" w:lineRule="auto"/>
        <w:jc w:val="both"/>
        <w:rPr>
          <w:b/>
          <w:bCs/>
        </w:rPr>
      </w:pPr>
      <w:r w:rsidRPr="000C7113">
        <w:rPr>
          <w:b/>
          <w:bCs/>
        </w:rPr>
        <w:t>Rosnące wyzwania energetyczne sektora centrów danych</w:t>
      </w:r>
    </w:p>
    <w:p w14:paraId="69E43174" w14:textId="56F41592" w:rsidR="000C7113" w:rsidRPr="000C7113" w:rsidRDefault="00DD4B1E" w:rsidP="00BA4FC6">
      <w:pPr>
        <w:spacing w:line="278" w:lineRule="auto"/>
        <w:jc w:val="both"/>
        <w:rPr>
          <w:rFonts w:cs="Arial"/>
        </w:rPr>
      </w:pPr>
      <w:r w:rsidRPr="000C7113">
        <w:rPr>
          <w:rFonts w:cs="Arial"/>
        </w:rPr>
        <w:t xml:space="preserve">Polski sektor centrów danych rośnie w dynamicznym tempie, osiągając </w:t>
      </w:r>
      <w:r w:rsidR="00B04703" w:rsidRPr="000C7113">
        <w:rPr>
          <w:rFonts w:cs="Arial"/>
        </w:rPr>
        <w:t>obecnie blisko 200</w:t>
      </w:r>
      <w:r w:rsidRPr="000C7113">
        <w:rPr>
          <w:rFonts w:cs="Arial"/>
        </w:rPr>
        <w:t xml:space="preserve">MW mocy operacyjnej i utrzymując od 2020 roku wskaźnik wzrostu na poziomie niemal 20%. Swoją obecność w Polsce budują najwięksi </w:t>
      </w:r>
      <w:r w:rsidR="005B5316" w:rsidRPr="000C7113">
        <w:rPr>
          <w:rFonts w:cs="Arial"/>
        </w:rPr>
        <w:t xml:space="preserve">globalni </w:t>
      </w:r>
      <w:r w:rsidRPr="000C7113">
        <w:rPr>
          <w:rFonts w:cs="Arial"/>
        </w:rPr>
        <w:t>chmurowi gracze –</w:t>
      </w:r>
      <w:r w:rsidR="00A01F21">
        <w:rPr>
          <w:rFonts w:cs="Arial"/>
        </w:rPr>
        <w:t xml:space="preserve"> </w:t>
      </w:r>
      <w:r w:rsidRPr="000C7113">
        <w:rPr>
          <w:rFonts w:cs="Arial"/>
        </w:rPr>
        <w:t xml:space="preserve">Google </w:t>
      </w:r>
      <w:proofErr w:type="spellStart"/>
      <w:r w:rsidRPr="000C7113">
        <w:rPr>
          <w:rFonts w:cs="Arial"/>
        </w:rPr>
        <w:t>Cloud</w:t>
      </w:r>
      <w:proofErr w:type="spellEnd"/>
      <w:r w:rsidRPr="000C7113">
        <w:rPr>
          <w:rFonts w:cs="Arial"/>
        </w:rPr>
        <w:t>, A</w:t>
      </w:r>
      <w:r w:rsidR="004C5DC3">
        <w:rPr>
          <w:rFonts w:cs="Arial"/>
        </w:rPr>
        <w:t xml:space="preserve">mazon </w:t>
      </w:r>
      <w:r w:rsidRPr="000C7113">
        <w:rPr>
          <w:rFonts w:cs="Arial"/>
        </w:rPr>
        <w:t>W</w:t>
      </w:r>
      <w:r w:rsidR="004C5DC3">
        <w:rPr>
          <w:rFonts w:cs="Arial"/>
        </w:rPr>
        <w:t xml:space="preserve">eb </w:t>
      </w:r>
      <w:r w:rsidRPr="000C7113">
        <w:rPr>
          <w:rFonts w:cs="Arial"/>
        </w:rPr>
        <w:t>S</w:t>
      </w:r>
      <w:r w:rsidR="004C5DC3">
        <w:rPr>
          <w:rFonts w:cs="Arial"/>
        </w:rPr>
        <w:t>ervices</w:t>
      </w:r>
      <w:r w:rsidRPr="000C7113">
        <w:rPr>
          <w:rFonts w:cs="Arial"/>
        </w:rPr>
        <w:t xml:space="preserve"> i Microsoft </w:t>
      </w:r>
      <w:proofErr w:type="spellStart"/>
      <w:r w:rsidRPr="000C7113">
        <w:rPr>
          <w:rFonts w:cs="Arial"/>
        </w:rPr>
        <w:t>Azure</w:t>
      </w:r>
      <w:proofErr w:type="spellEnd"/>
      <w:r w:rsidR="00A01F21">
        <w:rPr>
          <w:rFonts w:cs="Arial"/>
        </w:rPr>
        <w:t>. D</w:t>
      </w:r>
      <w:r w:rsidR="006D477D" w:rsidRPr="000C7113">
        <w:rPr>
          <w:rFonts w:cs="Arial"/>
        </w:rPr>
        <w:t>ynamicznie rozwija się także polski ekosystem centrów danych</w:t>
      </w:r>
      <w:r w:rsidR="00E06D44">
        <w:rPr>
          <w:rFonts w:cs="Arial"/>
        </w:rPr>
        <w:t>.</w:t>
      </w:r>
      <w:r w:rsidRPr="000C7113">
        <w:rPr>
          <w:rFonts w:cs="Arial"/>
        </w:rPr>
        <w:t xml:space="preserve"> Microsoft uruchomił w Warszawie pierwszy w Europie Środkowo-Wschodniej region przetwarzania danych i systematycznie wzmacnia swoje zaangażowanie, ogłaszając kolejne inwestycje w rozwój infrastruktury oraz budując pozycję Polski jako kluczowego </w:t>
      </w:r>
      <w:proofErr w:type="spellStart"/>
      <w:r w:rsidRPr="000C7113">
        <w:rPr>
          <w:rFonts w:cs="Arial"/>
        </w:rPr>
        <w:t>hubu</w:t>
      </w:r>
      <w:proofErr w:type="spellEnd"/>
      <w:r w:rsidRPr="000C7113">
        <w:rPr>
          <w:rFonts w:cs="Arial"/>
        </w:rPr>
        <w:t xml:space="preserve"> technologicznego w tej części Europy.</w:t>
      </w:r>
      <w:r w:rsidR="008E6DC2" w:rsidRPr="000C7113">
        <w:rPr>
          <w:rFonts w:cs="Arial"/>
        </w:rPr>
        <w:t xml:space="preserve"> </w:t>
      </w:r>
    </w:p>
    <w:p w14:paraId="0C52B6B9" w14:textId="62CCE7C4" w:rsidR="00DD4B1E" w:rsidRPr="000C7113" w:rsidRDefault="002B2FE3" w:rsidP="00BA4FC6">
      <w:pPr>
        <w:spacing w:line="278" w:lineRule="auto"/>
        <w:jc w:val="both"/>
        <w:rPr>
          <w:rFonts w:cs="Arial"/>
        </w:rPr>
      </w:pPr>
      <w:r w:rsidRPr="000C7113">
        <w:rPr>
          <w:rFonts w:cs="Arial"/>
        </w:rPr>
        <w:t xml:space="preserve">Według prognoz PMR i Polskich Sieci Elektroenergetycznych, do 2030 roku zapotrzebowanie polskich centrów danych na moc może wzrosnąć do 500 MW, a do 2034 roku centra danych w Polsce będą wymagać mocy na poziomie 1063 MW przy zużyciu energii sięgającym 9,3 </w:t>
      </w:r>
      <w:proofErr w:type="spellStart"/>
      <w:r w:rsidRPr="000C7113">
        <w:rPr>
          <w:rFonts w:cs="Arial"/>
        </w:rPr>
        <w:t>TWh</w:t>
      </w:r>
      <w:proofErr w:type="spellEnd"/>
      <w:r w:rsidRPr="000C7113">
        <w:rPr>
          <w:rFonts w:cs="Arial"/>
        </w:rPr>
        <w:t>. Rozwój sztucznej inteligencji znacząco intensyfikuje te potrzeby.</w:t>
      </w:r>
    </w:p>
    <w:p w14:paraId="258DA65E" w14:textId="683CFD95" w:rsidR="00DD4B1E" w:rsidRPr="000C7113" w:rsidRDefault="00DD4B1E" w:rsidP="00DD4B1E">
      <w:pPr>
        <w:spacing w:line="278" w:lineRule="auto"/>
        <w:jc w:val="both"/>
        <w:rPr>
          <w:rFonts w:cs="Arial"/>
        </w:rPr>
      </w:pPr>
      <w:r w:rsidRPr="000C7113">
        <w:rPr>
          <w:rFonts w:cs="Arial"/>
        </w:rPr>
        <w:t xml:space="preserve">Z tak dynamicznym wzrostem związane są też wyzwania. Polski sektor data center musi zapewniać sobie źródła dostępnej i stabilnej mocy </w:t>
      </w:r>
      <w:r w:rsidR="008E21FC" w:rsidRPr="000C7113">
        <w:rPr>
          <w:rFonts w:cs="Arial"/>
        </w:rPr>
        <w:t xml:space="preserve">elektrycznej </w:t>
      </w:r>
      <w:r w:rsidRPr="000C7113">
        <w:rPr>
          <w:rFonts w:cs="Arial"/>
        </w:rPr>
        <w:t xml:space="preserve">oraz </w:t>
      </w:r>
      <w:r w:rsidR="000C3D30" w:rsidRPr="000C7113">
        <w:rPr>
          <w:rFonts w:cs="Arial"/>
        </w:rPr>
        <w:t xml:space="preserve">spełniać </w:t>
      </w:r>
      <w:r w:rsidRPr="000C7113">
        <w:rPr>
          <w:rFonts w:cs="Arial"/>
        </w:rPr>
        <w:t xml:space="preserve">wymagania </w:t>
      </w:r>
      <w:r w:rsidR="000C3D30" w:rsidRPr="000C7113">
        <w:rPr>
          <w:rFonts w:cs="Arial"/>
        </w:rPr>
        <w:t>zrównoważonego rozwoju</w:t>
      </w:r>
      <w:r w:rsidRPr="000C7113">
        <w:rPr>
          <w:rFonts w:cs="Arial"/>
        </w:rPr>
        <w:t xml:space="preserve">. Firmy </w:t>
      </w:r>
      <w:r w:rsidR="000C3D30" w:rsidRPr="000C7113">
        <w:rPr>
          <w:rFonts w:cs="Arial"/>
        </w:rPr>
        <w:t xml:space="preserve">z </w:t>
      </w:r>
      <w:r w:rsidRPr="000C7113">
        <w:rPr>
          <w:rFonts w:cs="Arial"/>
        </w:rPr>
        <w:t>tego sektora często wyznaczają sobie przy tym bardziej ambitne cele środowiskowe niż te wynikające z polityki klimatycznej UE, dążąc do osiągnięcia neutralności klimatycznej i znaczącej redukcji emisji CO2.</w:t>
      </w:r>
    </w:p>
    <w:p w14:paraId="75386B72" w14:textId="77777777" w:rsidR="006F117C" w:rsidRPr="000C7113" w:rsidRDefault="006F117C" w:rsidP="00BA4FC6">
      <w:pPr>
        <w:spacing w:line="278" w:lineRule="auto"/>
        <w:jc w:val="both"/>
        <w:rPr>
          <w:b/>
          <w:bCs/>
        </w:rPr>
      </w:pPr>
      <w:r w:rsidRPr="000C7113">
        <w:rPr>
          <w:b/>
          <w:bCs/>
        </w:rPr>
        <w:t>Strategiczna synergia między centrami danych a modułowymi reaktorami jądrowymi</w:t>
      </w:r>
    </w:p>
    <w:p w14:paraId="107EE87B" w14:textId="6DB7D194" w:rsidR="006F117C" w:rsidRPr="000C7113" w:rsidRDefault="006F117C" w:rsidP="00BA4FC6">
      <w:pPr>
        <w:spacing w:line="278" w:lineRule="auto"/>
        <w:jc w:val="both"/>
      </w:pPr>
      <w:r w:rsidRPr="000C7113">
        <w:t xml:space="preserve">OSGE w marcu 2025 roku podpisało deklarację o potrojeniu mocy jądrowej podczas konferencji energetycznej CERAWeek w Houston. Do tego strategicznego porozumienia dołączyły również takie firmy jak </w:t>
      </w:r>
      <w:r w:rsidR="009A29CC" w:rsidRPr="000C7113">
        <w:t xml:space="preserve">Microsoft, </w:t>
      </w:r>
      <w:r w:rsidRPr="000C7113">
        <w:t>Amazon, Google i Meta – kluczowi gracze na rynku centrów danych.</w:t>
      </w:r>
    </w:p>
    <w:p w14:paraId="6FA97818" w14:textId="51FE55CB" w:rsidR="006F117C" w:rsidRPr="000C7113" w:rsidRDefault="006F117C" w:rsidP="00BA4FC6">
      <w:pPr>
        <w:jc w:val="both"/>
      </w:pPr>
      <w:r w:rsidRPr="000C7113">
        <w:t xml:space="preserve">"Widzimy </w:t>
      </w:r>
      <w:r w:rsidR="00EF069A" w:rsidRPr="000C7113">
        <w:t xml:space="preserve">silną </w:t>
      </w:r>
      <w:r w:rsidRPr="000C7113">
        <w:t xml:space="preserve">synergię pomiędzy centrami danych, sztuczną inteligencją a modułowymi reaktorami jądrowymi. Giganci technologiczni inwestują miliardy dolarów w te technologie w celu </w:t>
      </w:r>
      <w:r w:rsidRPr="000C7113">
        <w:lastRenderedPageBreak/>
        <w:t>zapewnienia sobie w nadchodzących latach ogromnej ilości czystej, bezpiecznej energii elektrycznej, która jest niezbędna dla dalszego rozwoju tego sektora. Jesteśmy gotowi, aby zrealizować to zadanie w Polsce z wykorzystaniem reaktorów BWRX-300" – podkreśla prezes OSGE, Rafał Kasprów.</w:t>
      </w:r>
    </w:p>
    <w:p w14:paraId="53712083" w14:textId="38EE1CCF" w:rsidR="006F117C" w:rsidRPr="000C7113" w:rsidRDefault="006F117C" w:rsidP="00BA4FC6">
      <w:pPr>
        <w:jc w:val="both"/>
      </w:pPr>
      <w:r w:rsidRPr="000C7113">
        <w:t xml:space="preserve">Dodatkowym polem synergii technologii SMR i centrów danych jest ciepłownictwo. </w:t>
      </w:r>
      <w:r w:rsidR="00FB0EF7" w:rsidRPr="000C7113">
        <w:t xml:space="preserve">Współpraca </w:t>
      </w:r>
      <w:r w:rsidRPr="000C7113">
        <w:t>reaktor</w:t>
      </w:r>
      <w:r w:rsidR="00FB0EF7" w:rsidRPr="000C7113">
        <w:t>ów</w:t>
      </w:r>
      <w:r w:rsidRPr="000C7113">
        <w:t xml:space="preserve"> BWRX-300</w:t>
      </w:r>
      <w:r w:rsidR="00FB0EF7" w:rsidRPr="000C7113">
        <w:t xml:space="preserve"> </w:t>
      </w:r>
      <w:r w:rsidRPr="000C7113">
        <w:t>i centr</w:t>
      </w:r>
      <w:r w:rsidR="00FB0EF7" w:rsidRPr="000C7113">
        <w:t>ów</w:t>
      </w:r>
      <w:r w:rsidRPr="000C7113">
        <w:t xml:space="preserve"> danych </w:t>
      </w:r>
      <w:r w:rsidR="00FB0EF7" w:rsidRPr="000C7113">
        <w:t xml:space="preserve">może </w:t>
      </w:r>
      <w:r w:rsidR="00D06A76" w:rsidRPr="000C7113">
        <w:t xml:space="preserve">zapewnić znaczące </w:t>
      </w:r>
      <w:r w:rsidRPr="000C7113">
        <w:t>dostaw</w:t>
      </w:r>
      <w:r w:rsidR="00D06A76" w:rsidRPr="000C7113">
        <w:t>y</w:t>
      </w:r>
      <w:r w:rsidRPr="000C7113">
        <w:t xml:space="preserve"> ciepła systemowego i wesprzeć dekarbonizację tego sektora w Polsce – największego w Europie.</w:t>
      </w:r>
    </w:p>
    <w:p w14:paraId="2170941B" w14:textId="4264E624" w:rsidR="007F316B" w:rsidRPr="000C7113" w:rsidRDefault="007F316B" w:rsidP="00BA4FC6">
      <w:pPr>
        <w:jc w:val="both"/>
      </w:pPr>
      <w:r w:rsidRPr="000C7113">
        <w:t>Takie inicjatywy pokazują, że Polska – wykorzystując swoje kompetencje i doświadczenie w rozwijaniu nowoczesnych źródeł energii – może odegrać kluczową rolę w transformacji całego europejskiego sektora centrów danych. </w:t>
      </w:r>
    </w:p>
    <w:p w14:paraId="6061A223" w14:textId="2210F029" w:rsidR="000F5AB0" w:rsidRPr="000C7113" w:rsidRDefault="00DD4B1E" w:rsidP="00BA4FC6">
      <w:pPr>
        <w:jc w:val="both"/>
        <w:rPr>
          <w:b/>
          <w:bCs/>
          <w:i/>
          <w:iCs/>
        </w:rPr>
      </w:pPr>
      <w:r w:rsidRPr="000C7113">
        <w:t xml:space="preserve">„Dostęp do czystej, bezpiecznej energii staje się dziś strategicznym czynnikiem rozwoju branży centrów danych oraz całego ekosystemu AI. Polska jako lider wdrażania projektów SMR w Europie, ma realną szansę stać się centrum innowacyjnych inwestycji technologicznych. Współpraca pomiędzy operatorami centrów danych a twórcami rozwiązań SMR to nie tylko szansa na zeroemisyjną energię dla rosnących potrzeb cyfrowych, </w:t>
      </w:r>
      <w:r w:rsidR="007F316B" w:rsidRPr="000C7113">
        <w:t xml:space="preserve">lecz także </w:t>
      </w:r>
      <w:r w:rsidRPr="000C7113">
        <w:t>możliwość wykorzystania nadwyżek ciepła w procesie dekarbonizacji ciepłownictwa – co może stać się wzorem dla innych krajów regionu. Obecne działania i dialog między kluczowymi interesariuszami mogą wyznaczyć nowy standard zrównoważonego rozwoju dla branży data center w Europie” – komentuje dyrektor zarządzający Stowarzyszenia PLDCA, Piotr Kowalski.</w:t>
      </w:r>
    </w:p>
    <w:p w14:paraId="30A99C1E" w14:textId="77777777" w:rsidR="006F117C" w:rsidRPr="000C7113" w:rsidRDefault="006F117C" w:rsidP="00BA4FC6">
      <w:pPr>
        <w:jc w:val="both"/>
        <w:rPr>
          <w:b/>
          <w:bCs/>
        </w:rPr>
      </w:pPr>
      <w:r w:rsidRPr="000C7113">
        <w:rPr>
          <w:b/>
          <w:bCs/>
        </w:rPr>
        <w:t>Cele strategicznej współpracy</w:t>
      </w:r>
    </w:p>
    <w:p w14:paraId="5D1319B5" w14:textId="26C5D024" w:rsidR="00DD4B1E" w:rsidRPr="000C7113" w:rsidRDefault="007F316B" w:rsidP="00BA4FC6">
      <w:pPr>
        <w:spacing w:line="278" w:lineRule="auto"/>
        <w:jc w:val="both"/>
      </w:pPr>
      <w:r w:rsidRPr="000C7113">
        <w:t xml:space="preserve">Rosnące </w:t>
      </w:r>
      <w:r w:rsidR="00DD4B1E" w:rsidRPr="000C7113">
        <w:t>ilości energii</w:t>
      </w:r>
      <w:r w:rsidRPr="000C7113">
        <w:t xml:space="preserve"> zużywane przez współczesne centra danych –</w:t>
      </w:r>
      <w:r w:rsidR="00DD4B1E" w:rsidRPr="000C7113">
        <w:t xml:space="preserve"> w obliczu wyzwań klimatycznych i rosnącej presji ze strony klientów na zrównoważony rozwój </w:t>
      </w:r>
      <w:r w:rsidRPr="000C7113">
        <w:t xml:space="preserve">– </w:t>
      </w:r>
      <w:r w:rsidR="00DD4B1E" w:rsidRPr="000C7113">
        <w:t>staj</w:t>
      </w:r>
      <w:r w:rsidRPr="000C7113">
        <w:t>ą</w:t>
      </w:r>
      <w:r w:rsidR="00DD4B1E" w:rsidRPr="000C7113">
        <w:t xml:space="preserve"> się kluczowym zagadnieniem dla całej branży. Dlatego coraz większego znaczenia nabierają innowacyjne i niskoemisyjne źródła zasilania, które mogą sprostać rosnącym potrzebom infrastruktury IT. W tym kontekście połączenie rozwoju nowoczesnych centrów danych z technologią małych reaktorów modułowych (SMR) otwiera nowe perspektywy zarówno dla transformacji energetycznej, jak i budowania przewagi konkurencyjnej Polski na rynku europejskim.</w:t>
      </w:r>
    </w:p>
    <w:p w14:paraId="75D6F3CD" w14:textId="0123FFA5" w:rsidR="006F117C" w:rsidRPr="000C7113" w:rsidRDefault="006F117C" w:rsidP="00BA4FC6">
      <w:pPr>
        <w:spacing w:line="278" w:lineRule="auto"/>
        <w:jc w:val="both"/>
      </w:pPr>
      <w:r w:rsidRPr="000C7113">
        <w:t xml:space="preserve">Rozwój centrów danych i nowoczesnej energetyki jądrowej to jedne z filarów </w:t>
      </w:r>
      <w:r w:rsidR="005F1C8E" w:rsidRPr="000C7113">
        <w:t xml:space="preserve">dla </w:t>
      </w:r>
      <w:r w:rsidRPr="000C7113">
        <w:t xml:space="preserve">zachowania </w:t>
      </w:r>
      <w:r w:rsidR="004D2244" w:rsidRPr="000C7113">
        <w:t xml:space="preserve">i wzrostu </w:t>
      </w:r>
      <w:r w:rsidRPr="000C7113">
        <w:t>konkurencyjności polskiej gospodarki</w:t>
      </w:r>
      <w:r w:rsidR="004D2244" w:rsidRPr="000C7113">
        <w:t xml:space="preserve"> </w:t>
      </w:r>
      <w:r w:rsidRPr="000C7113">
        <w:t>w</w:t>
      </w:r>
      <w:r w:rsidR="004D2244" w:rsidRPr="000C7113">
        <w:t xml:space="preserve"> </w:t>
      </w:r>
      <w:r w:rsidRPr="000C7113">
        <w:t xml:space="preserve">dobie postępującej cyfryzacji i rozwoju sztucznej inteligencji. </w:t>
      </w:r>
      <w:r w:rsidR="00C520A9" w:rsidRPr="000C7113">
        <w:t>Szybkie z</w:t>
      </w:r>
      <w:r w:rsidRPr="000C7113">
        <w:t>apewnienie stabilnych dostaw czystej energii jest kluczowe dla pozycjonowania Polski jako atrakcyjnego miejsca dla inwestycji technologicznych</w:t>
      </w:r>
      <w:r w:rsidR="00C520A9" w:rsidRPr="000C7113">
        <w:t xml:space="preserve"> w najbliższych </w:t>
      </w:r>
      <w:r w:rsidR="0052297D" w:rsidRPr="000C7113">
        <w:t>dekadach</w:t>
      </w:r>
      <w:r w:rsidRPr="000C7113">
        <w:t>.</w:t>
      </w:r>
    </w:p>
    <w:p w14:paraId="5253F58F" w14:textId="73FCF239" w:rsidR="006F117C" w:rsidRPr="000C7113" w:rsidRDefault="006F117C" w:rsidP="00BA4FC6">
      <w:pPr>
        <w:jc w:val="both"/>
      </w:pPr>
      <w:r w:rsidRPr="000C7113">
        <w:t xml:space="preserve">Głównym celem grupy roboczej PLDCA i OSGE jest opracowanie </w:t>
      </w:r>
      <w:r w:rsidR="007F316B" w:rsidRPr="000C7113">
        <w:t>tzw. białej księgi</w:t>
      </w:r>
      <w:r w:rsidRPr="000C7113">
        <w:t xml:space="preserve"> opisujące</w:t>
      </w:r>
      <w:r w:rsidR="007F316B" w:rsidRPr="000C7113">
        <w:t xml:space="preserve">j </w:t>
      </w:r>
      <w:r w:rsidRPr="000C7113">
        <w:t xml:space="preserve">możliwości współpracy pomiędzy branżą centrów danych a projektami SMR, korzyści wynikające z wspólnej realizacji projektów oraz ewentualne ograniczenia </w:t>
      </w:r>
      <w:r w:rsidR="00DD6338" w:rsidRPr="000C7113">
        <w:t xml:space="preserve">i wyzwania </w:t>
      </w:r>
      <w:r w:rsidRPr="000C7113">
        <w:t>z tym związane. Dokument</w:t>
      </w:r>
      <w:r w:rsidR="007F316B" w:rsidRPr="000C7113">
        <w:t xml:space="preserve">, </w:t>
      </w:r>
      <w:r w:rsidRPr="000C7113">
        <w:t xml:space="preserve">będzie zawierał </w:t>
      </w:r>
      <w:r w:rsidR="007448B7" w:rsidRPr="000C7113">
        <w:t xml:space="preserve">omówienie technologicznych aspektów obu sektorów, określenie pola synergii oraz </w:t>
      </w:r>
      <w:r w:rsidRPr="000C7113">
        <w:t xml:space="preserve">rekomendacje dotyczące potencjalnych zmian legislacyjnych i </w:t>
      </w:r>
      <w:proofErr w:type="spellStart"/>
      <w:r w:rsidRPr="000C7113">
        <w:t>deregulacyjnych</w:t>
      </w:r>
      <w:proofErr w:type="spellEnd"/>
      <w:r w:rsidRPr="000C7113">
        <w:t xml:space="preserve"> ułatwiających współpracę między obiema branżami.</w:t>
      </w:r>
    </w:p>
    <w:p w14:paraId="7A0052FA" w14:textId="0893E23A" w:rsidR="006F117C" w:rsidRPr="000C7113" w:rsidRDefault="006F117C" w:rsidP="00BA4FC6">
      <w:pPr>
        <w:spacing w:line="278" w:lineRule="auto"/>
        <w:jc w:val="both"/>
      </w:pPr>
      <w:r w:rsidRPr="000C7113">
        <w:lastRenderedPageBreak/>
        <w:t xml:space="preserve">Efekty prac grupy roboczej PLDCA i OSGE </w:t>
      </w:r>
      <w:r w:rsidR="009A29CC" w:rsidRPr="000C7113">
        <w:t xml:space="preserve">mogą </w:t>
      </w:r>
      <w:r w:rsidRPr="000C7113">
        <w:t>zostać przedstawione stronie rządowej w celu ułatwienia realizacji projektów łączących te dwa obszary w przyszłości.</w:t>
      </w:r>
    </w:p>
    <w:p w14:paraId="2BFE96EF" w14:textId="25F0CCE3" w:rsidR="00442068" w:rsidRPr="000C7113" w:rsidRDefault="004C5DC3" w:rsidP="00FC75CF">
      <w:pPr>
        <w:spacing w:before="120" w:after="120" w:line="276" w:lineRule="auto"/>
        <w:jc w:val="both"/>
        <w:rPr>
          <w:rFonts w:cs="Arial"/>
          <w:b/>
          <w:bCs/>
        </w:rPr>
      </w:pPr>
      <w:r>
        <w:rPr>
          <w:noProof/>
        </w:rPr>
        <w:pict w14:anchorId="7A518F3B">
          <v:rect id="_x0000_i1025" alt="" style="width:451.3pt;height:.05pt;mso-width-percent:0;mso-height-percent:0;mso-width-percent:0;mso-height-percent:0" o:hralign="center" o:hrstd="t" o:hr="t" fillcolor="#a0a0a0" stroked="f"/>
        </w:pict>
      </w:r>
      <w:r w:rsidR="00442068" w:rsidRPr="000C7113">
        <w:rPr>
          <w:rFonts w:cs="Arial"/>
          <w:b/>
          <w:bCs/>
        </w:rPr>
        <w:t>O OSGE</w:t>
      </w:r>
    </w:p>
    <w:p w14:paraId="60F10991" w14:textId="78E42226" w:rsidR="00442068" w:rsidRPr="000C7113" w:rsidRDefault="00442068" w:rsidP="00FC75C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PT Sans" w:cs="Arial"/>
          <w:color w:val="000000"/>
        </w:rPr>
      </w:pPr>
      <w:r w:rsidRPr="000C7113">
        <w:rPr>
          <w:rFonts w:eastAsia="PT Sans" w:cs="Arial"/>
          <w:b/>
          <w:bCs/>
          <w:color w:val="000000"/>
        </w:rPr>
        <w:t>ORLEN Synthos Green Energy (OSGE)</w:t>
      </w:r>
      <w:r w:rsidRPr="000C7113">
        <w:rPr>
          <w:rFonts w:eastAsia="PT Sans" w:cs="Arial"/>
          <w:color w:val="000000"/>
        </w:rPr>
        <w:t xml:space="preserve"> to spółka powołana przez ORLEN S.A. i Synthos Green Energy S.A. Firma odgrywa wiodącą rolę we wdrażaniu modułowych reaktorów jądrowych w</w:t>
      </w:r>
      <w:r w:rsidR="00FC75CF" w:rsidRPr="000C7113">
        <w:rPr>
          <w:rFonts w:eastAsia="PT Sans" w:cs="Arial"/>
          <w:color w:val="000000"/>
        </w:rPr>
        <w:t> </w:t>
      </w:r>
      <w:r w:rsidRPr="000C7113">
        <w:rPr>
          <w:rFonts w:eastAsia="PT Sans" w:cs="Arial"/>
          <w:color w:val="000000"/>
        </w:rPr>
        <w:t xml:space="preserve">Polsce, chcąc przyczynić się do efektywnej dekarbonizacji elektroenergetyki, ciepłownictwa oraz przemysłu. Misją OSGE jest zbudowanie floty reaktorów BWRX-300 od amerykańsko-japońskiej firmy GE Hitachi </w:t>
      </w:r>
      <w:proofErr w:type="spellStart"/>
      <w:r w:rsidRPr="000C7113">
        <w:rPr>
          <w:rFonts w:eastAsia="PT Sans" w:cs="Arial"/>
          <w:color w:val="000000"/>
        </w:rPr>
        <w:t>Nuclear</w:t>
      </w:r>
      <w:proofErr w:type="spellEnd"/>
      <w:r w:rsidRPr="000C7113">
        <w:rPr>
          <w:rFonts w:eastAsia="PT Sans" w:cs="Arial"/>
          <w:color w:val="000000"/>
        </w:rPr>
        <w:t xml:space="preserve"> Energy, które staną się ważną częścią miksu energetycznego kraju, zapewniając gospodarstwom domowym i przemysłowi stabilną energię elektryczną o</w:t>
      </w:r>
      <w:r w:rsidR="00FC75CF" w:rsidRPr="000C7113">
        <w:rPr>
          <w:rFonts w:eastAsia="PT Sans" w:cs="Arial"/>
          <w:color w:val="000000"/>
        </w:rPr>
        <w:t> </w:t>
      </w:r>
      <w:r w:rsidRPr="000C7113">
        <w:rPr>
          <w:rFonts w:eastAsia="PT Sans" w:cs="Arial"/>
          <w:color w:val="000000"/>
        </w:rPr>
        <w:t xml:space="preserve">zerowej emisji dwutlenku węgla. </w:t>
      </w:r>
    </w:p>
    <w:p w14:paraId="1A08E91A" w14:textId="57EDD1A1" w:rsidR="00442068" w:rsidRPr="000C7113" w:rsidRDefault="00442068" w:rsidP="00FC75C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PT Sans" w:cs="Arial"/>
          <w:color w:val="000000"/>
        </w:rPr>
      </w:pPr>
      <w:r w:rsidRPr="000C7113">
        <w:rPr>
          <w:rFonts w:eastAsia="PT Sans" w:cs="Arial"/>
          <w:color w:val="000000"/>
        </w:rPr>
        <w:t xml:space="preserve">Więcej informacji na stronie </w:t>
      </w:r>
      <w:hyperlink r:id="rId7" w:history="1">
        <w:r w:rsidRPr="000C7113">
          <w:rPr>
            <w:rStyle w:val="Hipercze"/>
            <w:rFonts w:eastAsia="PT Sans" w:cs="Arial"/>
          </w:rPr>
          <w:t>www.osge.com</w:t>
        </w:r>
      </w:hyperlink>
      <w:r w:rsidRPr="000C7113">
        <w:rPr>
          <w:rFonts w:eastAsia="PT Sans" w:cs="Arial"/>
          <w:color w:val="000000"/>
        </w:rPr>
        <w:t xml:space="preserve"> oraz platformie </w:t>
      </w:r>
      <w:hyperlink r:id="rId8" w:history="1">
        <w:r w:rsidRPr="000C7113">
          <w:rPr>
            <w:rStyle w:val="Hipercze"/>
            <w:rFonts w:eastAsia="PT Sans" w:cs="Arial"/>
          </w:rPr>
          <w:t>X</w:t>
        </w:r>
      </w:hyperlink>
      <w:r w:rsidRPr="000C7113">
        <w:rPr>
          <w:rFonts w:eastAsia="PT Sans" w:cs="Arial"/>
          <w:color w:val="000000"/>
        </w:rPr>
        <w:t xml:space="preserve"> i </w:t>
      </w:r>
      <w:hyperlink r:id="rId9" w:history="1">
        <w:r w:rsidRPr="000C7113">
          <w:rPr>
            <w:rStyle w:val="Hipercze"/>
            <w:rFonts w:eastAsia="PT Sans" w:cs="Arial"/>
          </w:rPr>
          <w:t>LinkedIn</w:t>
        </w:r>
      </w:hyperlink>
      <w:r w:rsidRPr="000C7113">
        <w:rPr>
          <w:rFonts w:eastAsia="PT Sans" w:cs="Arial"/>
          <w:color w:val="000000"/>
        </w:rPr>
        <w:t>.</w:t>
      </w:r>
    </w:p>
    <w:p w14:paraId="2CD28EEB" w14:textId="47F2040A" w:rsidR="008A6439" w:rsidRPr="000C7113" w:rsidRDefault="00C14684" w:rsidP="002C0FEF">
      <w:pPr>
        <w:spacing w:line="278" w:lineRule="auto"/>
      </w:pPr>
      <w:r w:rsidRPr="000C7113">
        <w:rPr>
          <w:b/>
          <w:bCs/>
        </w:rPr>
        <w:t xml:space="preserve">O </w:t>
      </w:r>
      <w:r w:rsidR="004C25F4" w:rsidRPr="000C7113">
        <w:rPr>
          <w:b/>
          <w:bCs/>
        </w:rPr>
        <w:t xml:space="preserve">Stowarzyszeniu </w:t>
      </w:r>
      <w:r w:rsidRPr="000C7113">
        <w:rPr>
          <w:b/>
          <w:bCs/>
        </w:rPr>
        <w:t>PLDCA</w:t>
      </w:r>
    </w:p>
    <w:p w14:paraId="57983BB5" w14:textId="01FF5FA4" w:rsidR="000C7113" w:rsidRPr="000C7113" w:rsidRDefault="00A108B9" w:rsidP="004D767F">
      <w:pPr>
        <w:spacing w:after="0" w:line="276" w:lineRule="auto"/>
        <w:jc w:val="both"/>
        <w:rPr>
          <w:rFonts w:eastAsia="PT Sans" w:cs="Arial"/>
          <w:color w:val="000000"/>
        </w:rPr>
      </w:pPr>
      <w:proofErr w:type="spellStart"/>
      <w:r w:rsidRPr="00A108B9">
        <w:rPr>
          <w:rFonts w:eastAsia="PT Sans" w:cs="Arial"/>
          <w:b/>
          <w:bCs/>
          <w:color w:val="000000"/>
        </w:rPr>
        <w:t>Polish</w:t>
      </w:r>
      <w:proofErr w:type="spellEnd"/>
      <w:r w:rsidRPr="00A108B9">
        <w:rPr>
          <w:rFonts w:eastAsia="PT Sans" w:cs="Arial"/>
          <w:b/>
          <w:bCs/>
          <w:color w:val="000000"/>
        </w:rPr>
        <w:t xml:space="preserve"> Data Centre </w:t>
      </w:r>
      <w:proofErr w:type="spellStart"/>
      <w:r w:rsidRPr="00A108B9">
        <w:rPr>
          <w:rFonts w:eastAsia="PT Sans" w:cs="Arial"/>
          <w:b/>
          <w:bCs/>
          <w:color w:val="000000"/>
        </w:rPr>
        <w:t>Association</w:t>
      </w:r>
      <w:proofErr w:type="spellEnd"/>
      <w:r w:rsidRPr="00A108B9">
        <w:rPr>
          <w:rFonts w:eastAsia="PT Sans" w:cs="Arial"/>
          <w:b/>
          <w:bCs/>
          <w:color w:val="000000"/>
        </w:rPr>
        <w:t xml:space="preserve"> (</w:t>
      </w:r>
      <w:r w:rsidR="000C7113" w:rsidRPr="00A108B9">
        <w:rPr>
          <w:rFonts w:eastAsia="PT Sans" w:cs="Arial"/>
          <w:b/>
          <w:bCs/>
          <w:color w:val="000000"/>
        </w:rPr>
        <w:t>PLDCA</w:t>
      </w:r>
      <w:r w:rsidRPr="00A108B9">
        <w:rPr>
          <w:rFonts w:eastAsia="PT Sans" w:cs="Arial"/>
          <w:b/>
          <w:bCs/>
          <w:color w:val="000000"/>
        </w:rPr>
        <w:t>)</w:t>
      </w:r>
      <w:r w:rsidR="000C7113" w:rsidRPr="000C7113">
        <w:rPr>
          <w:rFonts w:eastAsia="PT Sans" w:cs="Arial"/>
          <w:color w:val="000000"/>
        </w:rPr>
        <w:t xml:space="preserve"> </w:t>
      </w:r>
      <w:r w:rsidR="00017525">
        <w:rPr>
          <w:rFonts w:eastAsia="PT Sans" w:cs="Arial"/>
          <w:color w:val="000000"/>
        </w:rPr>
        <w:t xml:space="preserve">jest reprezentantem polskiego sektora centrów danych i </w:t>
      </w:r>
      <w:r w:rsidR="000C7113" w:rsidRPr="000C7113">
        <w:rPr>
          <w:rFonts w:eastAsia="PT Sans" w:cs="Arial"/>
          <w:color w:val="000000"/>
        </w:rPr>
        <w:t xml:space="preserve">zrzesza blisko 60 podmiotów z </w:t>
      </w:r>
      <w:r w:rsidR="00017525">
        <w:rPr>
          <w:rFonts w:eastAsia="PT Sans" w:cs="Arial"/>
          <w:color w:val="000000"/>
        </w:rPr>
        <w:t>szerokiego</w:t>
      </w:r>
      <w:r w:rsidR="000C7113" w:rsidRPr="000C7113">
        <w:rPr>
          <w:rFonts w:eastAsia="PT Sans" w:cs="Arial"/>
          <w:color w:val="000000"/>
        </w:rPr>
        <w:t xml:space="preserve"> łańcucha wartości </w:t>
      </w:r>
      <w:r w:rsidR="00017525">
        <w:rPr>
          <w:rFonts w:eastAsia="PT Sans" w:cs="Arial"/>
          <w:color w:val="000000"/>
        </w:rPr>
        <w:t>branży</w:t>
      </w:r>
      <w:r w:rsidR="0034258B">
        <w:rPr>
          <w:rFonts w:eastAsia="PT Sans" w:cs="Arial"/>
          <w:color w:val="000000"/>
        </w:rPr>
        <w:t xml:space="preserve"> – od </w:t>
      </w:r>
      <w:r w:rsidR="000C7113" w:rsidRPr="000C7113">
        <w:rPr>
          <w:rFonts w:eastAsia="PT Sans" w:cs="Arial"/>
          <w:color w:val="000000"/>
        </w:rPr>
        <w:t xml:space="preserve">właścicieli i operatorów </w:t>
      </w:r>
      <w:r w:rsidR="0034258B">
        <w:rPr>
          <w:rFonts w:eastAsia="PT Sans" w:cs="Arial"/>
          <w:color w:val="000000"/>
        </w:rPr>
        <w:t>centrów obliczeniowych</w:t>
      </w:r>
      <w:r w:rsidR="000C7113" w:rsidRPr="000C7113">
        <w:rPr>
          <w:rFonts w:eastAsia="PT Sans" w:cs="Arial"/>
          <w:color w:val="000000"/>
        </w:rPr>
        <w:t xml:space="preserve">, </w:t>
      </w:r>
      <w:r w:rsidR="0034258B">
        <w:rPr>
          <w:rFonts w:eastAsia="PT Sans" w:cs="Arial"/>
          <w:color w:val="000000"/>
        </w:rPr>
        <w:t xml:space="preserve">przez firmy </w:t>
      </w:r>
      <w:r w:rsidR="006E2AA5">
        <w:rPr>
          <w:rFonts w:eastAsia="PT Sans" w:cs="Arial"/>
          <w:color w:val="000000"/>
        </w:rPr>
        <w:t xml:space="preserve">inżynieryjne, </w:t>
      </w:r>
      <w:r w:rsidR="000C7113" w:rsidRPr="000C7113">
        <w:rPr>
          <w:rFonts w:eastAsia="PT Sans" w:cs="Arial"/>
          <w:color w:val="000000"/>
        </w:rPr>
        <w:t>po firmy technologiczne</w:t>
      </w:r>
      <w:r w:rsidR="006E2AA5">
        <w:rPr>
          <w:rFonts w:eastAsia="PT Sans" w:cs="Arial"/>
          <w:color w:val="000000"/>
        </w:rPr>
        <w:t xml:space="preserve">, </w:t>
      </w:r>
      <w:r w:rsidR="000C7113" w:rsidRPr="000C7113">
        <w:rPr>
          <w:rFonts w:eastAsia="PT Sans" w:cs="Arial"/>
          <w:color w:val="000000"/>
        </w:rPr>
        <w:t>integratorów</w:t>
      </w:r>
      <w:r w:rsidR="006E2AA5">
        <w:rPr>
          <w:rFonts w:eastAsia="PT Sans" w:cs="Arial"/>
          <w:color w:val="000000"/>
        </w:rPr>
        <w:t xml:space="preserve"> i generalnych wykonawców</w:t>
      </w:r>
      <w:r w:rsidR="000C7113" w:rsidRPr="000C7113">
        <w:rPr>
          <w:rFonts w:eastAsia="PT Sans" w:cs="Arial"/>
          <w:color w:val="000000"/>
        </w:rPr>
        <w:t xml:space="preserve">. Stowarzyszenie wzmacnia potencjał branży data center w Polsce, edukuje rynek i buduje nowe miejsca pracy poprzez współpracę z władzami, inicjowanie zmian legislacyjnych oraz wykorzystywanie doświadczeń podobnych organizacji w Europie. PLDCA </w:t>
      </w:r>
      <w:r w:rsidR="004D767F">
        <w:rPr>
          <w:rFonts w:eastAsia="PT Sans" w:cs="Arial"/>
          <w:color w:val="000000"/>
        </w:rPr>
        <w:t>określa</w:t>
      </w:r>
      <w:r w:rsidR="000C7113" w:rsidRPr="000C7113">
        <w:rPr>
          <w:rFonts w:eastAsia="PT Sans" w:cs="Arial"/>
          <w:color w:val="000000"/>
        </w:rPr>
        <w:t xml:space="preserve"> warunki infrastrukturalne sprzyjające realizacji celów strategicznych biznesu, </w:t>
      </w:r>
      <w:r w:rsidR="00920E39">
        <w:rPr>
          <w:rFonts w:eastAsia="PT Sans" w:cs="Arial"/>
          <w:color w:val="000000"/>
        </w:rPr>
        <w:t>promuje</w:t>
      </w:r>
      <w:r w:rsidR="000C7113" w:rsidRPr="000C7113">
        <w:rPr>
          <w:rFonts w:eastAsia="PT Sans" w:cs="Arial"/>
          <w:color w:val="000000"/>
        </w:rPr>
        <w:t xml:space="preserve"> rozwój oraz pozyskiwanie inwestorów</w:t>
      </w:r>
      <w:r w:rsidR="000C7113">
        <w:rPr>
          <w:rFonts w:eastAsia="PT Sans" w:cs="Arial"/>
          <w:color w:val="000000"/>
        </w:rPr>
        <w:t xml:space="preserve"> oraz </w:t>
      </w:r>
      <w:r w:rsidR="004D767F">
        <w:rPr>
          <w:rFonts w:eastAsia="PT Sans" w:cs="Arial"/>
          <w:color w:val="000000"/>
        </w:rPr>
        <w:t>wspiera</w:t>
      </w:r>
      <w:r w:rsidR="000C7113" w:rsidRPr="000C7113">
        <w:rPr>
          <w:rFonts w:eastAsia="PT Sans" w:cs="Arial"/>
          <w:color w:val="000000"/>
        </w:rPr>
        <w:t xml:space="preserve"> zrównoważony i odpowiedzialny rozwój </w:t>
      </w:r>
      <w:r w:rsidR="00043844">
        <w:rPr>
          <w:rFonts w:eastAsia="PT Sans" w:cs="Arial"/>
          <w:color w:val="000000"/>
        </w:rPr>
        <w:t>sektora</w:t>
      </w:r>
      <w:r w:rsidR="000C7113" w:rsidRPr="000C7113">
        <w:rPr>
          <w:rFonts w:eastAsia="PT Sans" w:cs="Arial"/>
          <w:color w:val="000000"/>
        </w:rPr>
        <w:t>.</w:t>
      </w:r>
    </w:p>
    <w:p w14:paraId="34736A56" w14:textId="77777777" w:rsidR="004C25F4" w:rsidRPr="000C7113" w:rsidRDefault="004C25F4" w:rsidP="000C7113">
      <w:pPr>
        <w:spacing w:after="0" w:line="276" w:lineRule="auto"/>
      </w:pPr>
    </w:p>
    <w:p w14:paraId="3A182B79" w14:textId="7A5AF008" w:rsidR="004C25F4" w:rsidRPr="000C7113" w:rsidRDefault="004C25F4" w:rsidP="000C7113">
      <w:pPr>
        <w:spacing w:after="0" w:line="276" w:lineRule="auto"/>
      </w:pPr>
      <w:hyperlink r:id="rId10" w:history="1">
        <w:r w:rsidRPr="000C7113">
          <w:rPr>
            <w:rStyle w:val="Hipercze"/>
          </w:rPr>
          <w:t>www.pldca.pl</w:t>
        </w:r>
      </w:hyperlink>
      <w:r w:rsidRPr="000C7113">
        <w:t xml:space="preserve"> </w:t>
      </w:r>
    </w:p>
    <w:p w14:paraId="2618A0C0" w14:textId="3AF70433" w:rsidR="00442068" w:rsidRPr="000C7113" w:rsidRDefault="004C5DC3" w:rsidP="00FC75CF">
      <w:pPr>
        <w:spacing w:before="120" w:after="120" w:line="276" w:lineRule="auto"/>
        <w:jc w:val="both"/>
        <w:rPr>
          <w:rFonts w:eastAsia="PT Sans" w:cs="Arial"/>
        </w:rPr>
      </w:pPr>
      <w:r>
        <w:rPr>
          <w:noProof/>
        </w:rPr>
        <w:pict w14:anchorId="6963F691">
          <v:rect id="_x0000_i1026" alt="" style="width:451.3pt;height:.05pt;mso-width-percent:0;mso-height-percent:0;mso-width-percent:0;mso-height-percent:0" o:hralign="center" o:hrstd="t" o:hr="t" fillcolor="#a0a0a0" stroked="f"/>
        </w:pict>
      </w:r>
      <w:r w:rsidR="00442068" w:rsidRPr="000C7113">
        <w:rPr>
          <w:rFonts w:eastAsia="PT Sans" w:cs="Arial"/>
        </w:rPr>
        <w:t>Kontakt dla mediów:</w:t>
      </w:r>
    </w:p>
    <w:p w14:paraId="19DBA644" w14:textId="77777777" w:rsidR="00442068" w:rsidRPr="000C7113" w:rsidRDefault="00442068" w:rsidP="00FC75CF">
      <w:pPr>
        <w:spacing w:after="120" w:line="276" w:lineRule="auto"/>
        <w:jc w:val="both"/>
        <w:rPr>
          <w:rFonts w:eastAsia="PT Sans" w:cs="Arial"/>
          <w:b/>
          <w:bCs/>
        </w:rPr>
      </w:pPr>
      <w:r w:rsidRPr="000C7113">
        <w:rPr>
          <w:rFonts w:eastAsia="PT Sans" w:cs="Arial"/>
          <w:b/>
          <w:bCs/>
        </w:rPr>
        <w:t>Mariusz Ilnicki</w:t>
      </w:r>
    </w:p>
    <w:p w14:paraId="1A86413E" w14:textId="77777777" w:rsidR="00442068" w:rsidRPr="000C7113" w:rsidRDefault="00442068" w:rsidP="00FC75CF">
      <w:pPr>
        <w:spacing w:after="120" w:line="276" w:lineRule="auto"/>
        <w:jc w:val="both"/>
        <w:rPr>
          <w:rFonts w:eastAsia="PT Sans" w:cs="Arial"/>
        </w:rPr>
      </w:pPr>
      <w:r w:rsidRPr="000C7113">
        <w:rPr>
          <w:rFonts w:eastAsia="PT Sans" w:cs="Arial"/>
        </w:rPr>
        <w:t>+48 668 48 36 73</w:t>
      </w:r>
    </w:p>
    <w:p w14:paraId="598DB250" w14:textId="17AF7FFC" w:rsidR="00442068" w:rsidRDefault="00034B4C" w:rsidP="00FC75CF">
      <w:pPr>
        <w:spacing w:after="120" w:line="276" w:lineRule="auto"/>
        <w:jc w:val="both"/>
        <w:rPr>
          <w:rFonts w:eastAsia="PT Sans" w:cs="Arial"/>
        </w:rPr>
      </w:pPr>
      <w:hyperlink r:id="rId11" w:history="1">
        <w:r w:rsidRPr="000C7113">
          <w:rPr>
            <w:rStyle w:val="Hipercze"/>
            <w:rFonts w:eastAsia="PT Sans" w:cs="Arial"/>
          </w:rPr>
          <w:t>komunikacja</w:t>
        </w:r>
        <w:r w:rsidR="00442068" w:rsidRPr="000C7113">
          <w:rPr>
            <w:rStyle w:val="Hipercze"/>
            <w:rFonts w:eastAsia="PT Sans" w:cs="Arial"/>
          </w:rPr>
          <w:t>@osge.com</w:t>
        </w:r>
      </w:hyperlink>
      <w:r w:rsidR="00442068" w:rsidRPr="000C7113">
        <w:rPr>
          <w:rFonts w:eastAsia="PT Sans" w:cs="Arial"/>
        </w:rPr>
        <w:t xml:space="preserve"> </w:t>
      </w:r>
    </w:p>
    <w:p w14:paraId="4E7E5B60" w14:textId="77777777" w:rsidR="0073586F" w:rsidRDefault="0073586F" w:rsidP="00FC75CF">
      <w:pPr>
        <w:spacing w:after="120" w:line="276" w:lineRule="auto"/>
        <w:jc w:val="both"/>
        <w:rPr>
          <w:rFonts w:eastAsia="PT Sans" w:cs="Arial"/>
        </w:rPr>
      </w:pPr>
    </w:p>
    <w:p w14:paraId="40EB2C6B" w14:textId="4CDCD258" w:rsidR="0073586F" w:rsidRDefault="0073586F" w:rsidP="00FC75CF">
      <w:pPr>
        <w:spacing w:after="120" w:line="276" w:lineRule="auto"/>
        <w:jc w:val="both"/>
        <w:rPr>
          <w:rFonts w:eastAsia="PT Sans" w:cs="Arial"/>
        </w:rPr>
      </w:pPr>
      <w:r>
        <w:rPr>
          <w:rFonts w:eastAsia="PT Sans" w:cs="Arial"/>
        </w:rPr>
        <w:t>PLDCA</w:t>
      </w:r>
    </w:p>
    <w:p w14:paraId="64CAF141" w14:textId="45E7D7E3" w:rsidR="0073586F" w:rsidRPr="0073586F" w:rsidRDefault="0073586F" w:rsidP="00FC75CF">
      <w:pPr>
        <w:spacing w:after="120" w:line="276" w:lineRule="auto"/>
        <w:jc w:val="both"/>
        <w:rPr>
          <w:rFonts w:eastAsia="PT Sans" w:cs="Arial"/>
          <w:b/>
          <w:bCs/>
        </w:rPr>
      </w:pPr>
      <w:r w:rsidRPr="0073586F">
        <w:rPr>
          <w:rFonts w:eastAsia="PT Sans" w:cs="Arial"/>
          <w:b/>
          <w:bCs/>
        </w:rPr>
        <w:t>Arkadiusz Lorenc</w:t>
      </w:r>
    </w:p>
    <w:p w14:paraId="06283F7F" w14:textId="13F0300E" w:rsidR="0073586F" w:rsidRDefault="0073586F" w:rsidP="00FC75CF">
      <w:pPr>
        <w:spacing w:after="120" w:line="276" w:lineRule="auto"/>
        <w:jc w:val="both"/>
        <w:rPr>
          <w:rFonts w:eastAsia="PT Sans" w:cs="Arial"/>
        </w:rPr>
      </w:pPr>
      <w:r>
        <w:rPr>
          <w:rFonts w:eastAsia="PT Sans" w:cs="Arial"/>
        </w:rPr>
        <w:t>+48 538113774</w:t>
      </w:r>
    </w:p>
    <w:p w14:paraId="70F7C222" w14:textId="0028AAAD" w:rsidR="0073586F" w:rsidRPr="000C7113" w:rsidRDefault="0073586F" w:rsidP="00FC75CF">
      <w:pPr>
        <w:spacing w:after="120" w:line="276" w:lineRule="auto"/>
        <w:jc w:val="both"/>
        <w:rPr>
          <w:rFonts w:eastAsia="PT Sans" w:cs="Arial"/>
          <w:color w:val="000000"/>
        </w:rPr>
      </w:pPr>
      <w:hyperlink r:id="rId12" w:history="1">
        <w:r w:rsidRPr="006F6E42">
          <w:rPr>
            <w:rStyle w:val="Hipercze"/>
            <w:rFonts w:eastAsia="PT Sans" w:cs="Arial"/>
          </w:rPr>
          <w:t>arkadiusz.lorenc@linkleaders.pl</w:t>
        </w:r>
      </w:hyperlink>
      <w:r>
        <w:rPr>
          <w:rFonts w:eastAsia="PT Sans" w:cs="Arial"/>
        </w:rPr>
        <w:t xml:space="preserve"> </w:t>
      </w:r>
    </w:p>
    <w:sectPr w:rsidR="0073586F" w:rsidRPr="000C7113" w:rsidSect="0084172D">
      <w:headerReference w:type="default" r:id="rId13"/>
      <w:footerReference w:type="default" r:id="rId14"/>
      <w:pgSz w:w="11906" w:h="16838"/>
      <w:pgMar w:top="1971" w:right="1417" w:bottom="212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2352" w14:textId="77777777" w:rsidR="002B6995" w:rsidRDefault="002B6995" w:rsidP="00AD6CF7">
      <w:pPr>
        <w:spacing w:after="0" w:line="240" w:lineRule="auto"/>
      </w:pPr>
      <w:r>
        <w:separator/>
      </w:r>
    </w:p>
  </w:endnote>
  <w:endnote w:type="continuationSeparator" w:id="0">
    <w:p w14:paraId="46AC2985" w14:textId="77777777" w:rsidR="002B6995" w:rsidRDefault="002B6995" w:rsidP="00A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46F4" w14:textId="77777777" w:rsidR="00AD6CF7" w:rsidRDefault="00AD6CF7" w:rsidP="00AD6CF7">
    <w:pPr>
      <w:pStyle w:val="Stopka"/>
      <w:ind w:left="-113"/>
      <w:jc w:val="center"/>
      <w:rPr>
        <w:rFonts w:ascii="Posterama" w:hAnsi="Posterama" w:cs="Posterama"/>
        <w:color w:val="3A3A3A" w:themeColor="background2" w:themeShade="4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162F0F" wp14:editId="67183D85">
          <wp:simplePos x="0" y="0"/>
          <wp:positionH relativeFrom="margin">
            <wp:align>right</wp:align>
          </wp:positionH>
          <wp:positionV relativeFrom="paragraph">
            <wp:posOffset>-92338</wp:posOffset>
          </wp:positionV>
          <wp:extent cx="5819775" cy="113283"/>
          <wp:effectExtent l="0" t="0" r="0" b="1270"/>
          <wp:wrapNone/>
          <wp:docPr id="1090083265" name="Obraz 1090083265" descr="Obraz zawierający tekst, talerz, zastawa stołowa, naczy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, talerz, zastawa stołowa, naczyni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90" b="15385"/>
                  <a:stretch/>
                </pic:blipFill>
                <pic:spPr bwMode="auto">
                  <a:xfrm>
                    <a:off x="0" y="0"/>
                    <a:ext cx="5845880" cy="1137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FD06D0" wp14:editId="30FB17D4">
          <wp:extent cx="2757170" cy="209550"/>
          <wp:effectExtent l="0" t="0" r="5080" b="0"/>
          <wp:docPr id="1433922949" name="Obraz 1433922949" descr="Obraz zawierający tekst, talerz, zastawa stołowa, naczy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, talerz, zastawa stołowa, naczyni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43"/>
                  <a:stretch/>
                </pic:blipFill>
                <pic:spPr bwMode="auto">
                  <a:xfrm>
                    <a:off x="0" y="0"/>
                    <a:ext cx="275717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C7CE96" w14:textId="77777777" w:rsidR="00AD6CF7" w:rsidRPr="00036671" w:rsidRDefault="00AD6CF7" w:rsidP="00AD6CF7">
    <w:pPr>
      <w:pStyle w:val="Stopka"/>
      <w:ind w:left="-113"/>
      <w:jc w:val="center"/>
      <w:rPr>
        <w:rFonts w:ascii="Posterama" w:hAnsi="Posterama" w:cs="Posterama"/>
        <w:color w:val="3A3A3A" w:themeColor="background2" w:themeShade="40"/>
        <w:sz w:val="8"/>
        <w:szCs w:val="8"/>
      </w:rPr>
    </w:pPr>
  </w:p>
  <w:p w14:paraId="6B4D496D" w14:textId="4186F581" w:rsidR="00AD6CF7" w:rsidRPr="00036671" w:rsidRDefault="00AD6CF7" w:rsidP="00AD6CF7">
    <w:pPr>
      <w:pStyle w:val="Stopka"/>
      <w:ind w:left="-113"/>
      <w:jc w:val="center"/>
      <w:rPr>
        <w:rFonts w:ascii="Posterama" w:hAnsi="Posterama" w:cs="Posterama"/>
        <w:color w:val="ADADAD" w:themeColor="background2" w:themeShade="BF"/>
        <w:sz w:val="16"/>
        <w:szCs w:val="16"/>
      </w:rPr>
    </w:pPr>
    <w:r w:rsidRPr="00036671">
      <w:rPr>
        <w:rFonts w:ascii="Posterama" w:hAnsi="Posterama" w:cs="Posterama"/>
        <w:color w:val="ADADAD" w:themeColor="background2" w:themeShade="BF"/>
        <w:sz w:val="16"/>
        <w:szCs w:val="16"/>
      </w:rPr>
      <w:t>Aleja Jana Pawła II 22, 00-133 Wars</w:t>
    </w:r>
    <w:r w:rsidR="001C06BD">
      <w:rPr>
        <w:rFonts w:ascii="Posterama" w:hAnsi="Posterama" w:cs="Posterama"/>
        <w:color w:val="ADADAD" w:themeColor="background2" w:themeShade="BF"/>
        <w:sz w:val="16"/>
        <w:szCs w:val="16"/>
      </w:rPr>
      <w:t>zawa</w:t>
    </w:r>
  </w:p>
  <w:p w14:paraId="0F06BB09" w14:textId="77777777" w:rsidR="00AD6CF7" w:rsidRPr="00036671" w:rsidRDefault="00AD6CF7" w:rsidP="00AD6CF7">
    <w:pPr>
      <w:pStyle w:val="Stopka"/>
      <w:ind w:left="-113"/>
      <w:jc w:val="center"/>
      <w:rPr>
        <w:rFonts w:ascii="Posterama" w:hAnsi="Posterama" w:cs="Posterama"/>
        <w:color w:val="ADADAD" w:themeColor="background2" w:themeShade="BF"/>
        <w:sz w:val="18"/>
        <w:szCs w:val="18"/>
      </w:rPr>
    </w:pPr>
    <w:r w:rsidRPr="00036671">
      <w:rPr>
        <w:rFonts w:ascii="Posterama" w:hAnsi="Posterama" w:cs="Posterama"/>
        <w:color w:val="ADADAD" w:themeColor="background2" w:themeShade="BF"/>
        <w:sz w:val="18"/>
        <w:szCs w:val="18"/>
      </w:rPr>
      <w:t>www.osge.com</w:t>
    </w:r>
  </w:p>
  <w:p w14:paraId="6AB3C8F9" w14:textId="35DC2081" w:rsidR="00AD6CF7" w:rsidRPr="00AD6CF7" w:rsidRDefault="00AD6CF7" w:rsidP="00AD6CF7">
    <w:pPr>
      <w:pStyle w:val="Stopka"/>
      <w:ind w:left="-113"/>
      <w:jc w:val="center"/>
      <w:rPr>
        <w:rFonts w:ascii="Posterama" w:hAnsi="Posterama" w:cs="Posterama"/>
        <w:color w:val="ADADAD" w:themeColor="background2" w:themeShade="BF"/>
        <w:sz w:val="16"/>
        <w:szCs w:val="16"/>
      </w:rPr>
    </w:pPr>
    <w:r w:rsidRPr="00036671">
      <w:rPr>
        <w:rFonts w:ascii="Posterama" w:hAnsi="Posterama" w:cs="Posterama"/>
        <w:color w:val="ADADAD" w:themeColor="background2" w:themeShade="BF"/>
        <w:sz w:val="16"/>
        <w:szCs w:val="16"/>
      </w:rPr>
      <w:t>biuro@osge.com</w:t>
    </w:r>
    <w:r w:rsidRPr="00036671">
      <w:rPr>
        <w:rFonts w:ascii="Posterama" w:hAnsi="Posterama" w:cs="Posterama"/>
        <w:color w:val="ADADAD" w:themeColor="background2" w:themeShade="BF"/>
        <w:sz w:val="16"/>
        <w:szCs w:val="16"/>
      </w:rPr>
      <w:br/>
    </w:r>
    <w:r>
      <w:rPr>
        <w:rFonts w:ascii="Posterama" w:hAnsi="Posterama" w:cs="Posterama"/>
        <w:color w:val="ADADAD" w:themeColor="background2" w:themeShade="BF"/>
        <w:sz w:val="16"/>
        <w:szCs w:val="16"/>
      </w:rPr>
      <w:t>x</w:t>
    </w:r>
    <w:r w:rsidRPr="00036671">
      <w:rPr>
        <w:rFonts w:ascii="Posterama" w:hAnsi="Posterama" w:cs="Posterama"/>
        <w:color w:val="ADADAD" w:themeColor="background2" w:themeShade="BF"/>
        <w:sz w:val="16"/>
        <w:szCs w:val="16"/>
      </w:rPr>
      <w:t>.com/</w:t>
    </w:r>
    <w:proofErr w:type="spellStart"/>
    <w:r w:rsidRPr="00036671">
      <w:rPr>
        <w:rFonts w:ascii="Posterama" w:hAnsi="Posterama" w:cs="Posterama"/>
        <w:color w:val="ADADAD" w:themeColor="background2" w:themeShade="BF"/>
        <w:sz w:val="16"/>
        <w:szCs w:val="16"/>
      </w:rPr>
      <w:t>ORLEN_Synthos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A543" w14:textId="77777777" w:rsidR="002B6995" w:rsidRDefault="002B6995" w:rsidP="00AD6CF7">
      <w:pPr>
        <w:spacing w:after="0" w:line="240" w:lineRule="auto"/>
      </w:pPr>
      <w:r>
        <w:separator/>
      </w:r>
    </w:p>
  </w:footnote>
  <w:footnote w:type="continuationSeparator" w:id="0">
    <w:p w14:paraId="535ABA27" w14:textId="77777777" w:rsidR="002B6995" w:rsidRDefault="002B6995" w:rsidP="00A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D69F" w14:textId="29762B7C" w:rsidR="00AD6CF7" w:rsidRDefault="0073586F">
    <w:pPr>
      <w:pStyle w:val="Nagwek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D07827B" wp14:editId="79FD5215">
          <wp:simplePos x="0" y="0"/>
          <wp:positionH relativeFrom="column">
            <wp:posOffset>1709420</wp:posOffset>
          </wp:positionH>
          <wp:positionV relativeFrom="paragraph">
            <wp:posOffset>-59476</wp:posOffset>
          </wp:positionV>
          <wp:extent cx="1704975" cy="528955"/>
          <wp:effectExtent l="0" t="0" r="0" b="4445"/>
          <wp:wrapSquare wrapText="bothSides"/>
          <wp:docPr id="1979828526" name="Imagen 1" descr="Una señal de al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828526" name="Imagen 1" descr="Una señal de al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CF7">
      <w:rPr>
        <w:noProof/>
      </w:rPr>
      <w:drawing>
        <wp:anchor distT="0" distB="0" distL="114300" distR="114300" simplePos="0" relativeHeight="251658241" behindDoc="1" locked="0" layoutInCell="1" allowOverlap="1" wp14:anchorId="78BE8C01" wp14:editId="588F0879">
          <wp:simplePos x="0" y="0"/>
          <wp:positionH relativeFrom="column">
            <wp:posOffset>-4445</wp:posOffset>
          </wp:positionH>
          <wp:positionV relativeFrom="paragraph">
            <wp:posOffset>-59055</wp:posOffset>
          </wp:positionV>
          <wp:extent cx="1457325" cy="671195"/>
          <wp:effectExtent l="0" t="0" r="9525" b="0"/>
          <wp:wrapTight wrapText="bothSides">
            <wp:wrapPolygon edited="0">
              <wp:start x="0" y="0"/>
              <wp:lineTo x="0" y="20844"/>
              <wp:lineTo x="21459" y="20844"/>
              <wp:lineTo x="21459" y="0"/>
              <wp:lineTo x="0" y="0"/>
            </wp:wrapPolygon>
          </wp:wrapTight>
          <wp:docPr id="1299461863" name="Picture 1711143889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79199" name="Obraz 1" descr="Obraz zawierający Czcionka, tekst, logo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692808" w14:textId="3804C13E" w:rsidR="00B04598" w:rsidRDefault="00B04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49D"/>
    <w:multiLevelType w:val="hybridMultilevel"/>
    <w:tmpl w:val="4EAEE000"/>
    <w:lvl w:ilvl="0" w:tplc="F564B7F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141075"/>
    <w:multiLevelType w:val="hybridMultilevel"/>
    <w:tmpl w:val="1606548E"/>
    <w:lvl w:ilvl="0" w:tplc="44E42D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F2244E"/>
    <w:multiLevelType w:val="hybridMultilevel"/>
    <w:tmpl w:val="4F8ADC64"/>
    <w:lvl w:ilvl="0" w:tplc="BE9AB75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00C84"/>
    <w:multiLevelType w:val="hybridMultilevel"/>
    <w:tmpl w:val="D646FD28"/>
    <w:lvl w:ilvl="0" w:tplc="07C8C43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696726"/>
    <w:multiLevelType w:val="hybridMultilevel"/>
    <w:tmpl w:val="34DAE08A"/>
    <w:lvl w:ilvl="0" w:tplc="660C662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FA70B9C"/>
    <w:multiLevelType w:val="hybridMultilevel"/>
    <w:tmpl w:val="2452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0E65"/>
    <w:multiLevelType w:val="hybridMultilevel"/>
    <w:tmpl w:val="5E80B14A"/>
    <w:lvl w:ilvl="0" w:tplc="1252482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E123CF"/>
    <w:multiLevelType w:val="hybridMultilevel"/>
    <w:tmpl w:val="4E9E629A"/>
    <w:lvl w:ilvl="0" w:tplc="A0FC65D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664446"/>
    <w:multiLevelType w:val="hybridMultilevel"/>
    <w:tmpl w:val="A47A65FE"/>
    <w:lvl w:ilvl="0" w:tplc="8062BD32">
      <w:start w:val="1"/>
      <w:numFmt w:val="lowerRoman"/>
      <w:lvlText w:val="%1)"/>
      <w:lvlJc w:val="left"/>
      <w:pPr>
        <w:ind w:left="216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F1B68"/>
    <w:multiLevelType w:val="hybridMultilevel"/>
    <w:tmpl w:val="71926592"/>
    <w:lvl w:ilvl="0" w:tplc="7BFCECA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DB5238"/>
    <w:multiLevelType w:val="hybridMultilevel"/>
    <w:tmpl w:val="7EFAC842"/>
    <w:lvl w:ilvl="0" w:tplc="C57CC6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1A7148"/>
    <w:multiLevelType w:val="hybridMultilevel"/>
    <w:tmpl w:val="DCAE8D34"/>
    <w:lvl w:ilvl="0" w:tplc="5930EBE2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7B66636E">
      <w:start w:val="11"/>
      <w:numFmt w:val="decimal"/>
      <w:lvlText w:val="%3"/>
      <w:lvlJc w:val="left"/>
      <w:pPr>
        <w:ind w:left="35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9230105"/>
    <w:multiLevelType w:val="hybridMultilevel"/>
    <w:tmpl w:val="D5A22C30"/>
    <w:lvl w:ilvl="0" w:tplc="4CC4641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7F84"/>
    <w:multiLevelType w:val="hybridMultilevel"/>
    <w:tmpl w:val="429CBB4C"/>
    <w:lvl w:ilvl="0" w:tplc="C8CAA63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93D09"/>
    <w:multiLevelType w:val="multilevel"/>
    <w:tmpl w:val="750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62181"/>
    <w:multiLevelType w:val="hybridMultilevel"/>
    <w:tmpl w:val="B63ED88A"/>
    <w:lvl w:ilvl="0" w:tplc="C5DC2F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DB36DA"/>
    <w:multiLevelType w:val="hybridMultilevel"/>
    <w:tmpl w:val="E9B6A392"/>
    <w:lvl w:ilvl="0" w:tplc="3D1483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53EE"/>
    <w:multiLevelType w:val="hybridMultilevel"/>
    <w:tmpl w:val="53B0E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4FF8"/>
    <w:multiLevelType w:val="hybridMultilevel"/>
    <w:tmpl w:val="940AE57C"/>
    <w:lvl w:ilvl="0" w:tplc="98F8F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30683"/>
    <w:multiLevelType w:val="hybridMultilevel"/>
    <w:tmpl w:val="3BA0EAA8"/>
    <w:lvl w:ilvl="0" w:tplc="B192E35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7B6EB0"/>
    <w:multiLevelType w:val="hybridMultilevel"/>
    <w:tmpl w:val="F238150C"/>
    <w:lvl w:ilvl="0" w:tplc="BEBCB91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642537"/>
    <w:multiLevelType w:val="hybridMultilevel"/>
    <w:tmpl w:val="149CF6CC"/>
    <w:lvl w:ilvl="0" w:tplc="8362A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4F0605"/>
    <w:multiLevelType w:val="hybridMultilevel"/>
    <w:tmpl w:val="74544E74"/>
    <w:lvl w:ilvl="0" w:tplc="C1E27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161248">
    <w:abstractNumId w:val="17"/>
  </w:num>
  <w:num w:numId="2" w16cid:durableId="302976729">
    <w:abstractNumId w:val="18"/>
  </w:num>
  <w:num w:numId="3" w16cid:durableId="125319022">
    <w:abstractNumId w:val="21"/>
  </w:num>
  <w:num w:numId="4" w16cid:durableId="1316375415">
    <w:abstractNumId w:val="22"/>
  </w:num>
  <w:num w:numId="5" w16cid:durableId="1851213363">
    <w:abstractNumId w:val="13"/>
  </w:num>
  <w:num w:numId="6" w16cid:durableId="2048069825">
    <w:abstractNumId w:val="10"/>
  </w:num>
  <w:num w:numId="7" w16cid:durableId="737358597">
    <w:abstractNumId w:val="5"/>
  </w:num>
  <w:num w:numId="8" w16cid:durableId="574436558">
    <w:abstractNumId w:val="14"/>
  </w:num>
  <w:num w:numId="9" w16cid:durableId="728726276">
    <w:abstractNumId w:val="11"/>
  </w:num>
  <w:num w:numId="10" w16cid:durableId="817307333">
    <w:abstractNumId w:val="4"/>
  </w:num>
  <w:num w:numId="11" w16cid:durableId="780346363">
    <w:abstractNumId w:val="3"/>
  </w:num>
  <w:num w:numId="12" w16cid:durableId="1119104832">
    <w:abstractNumId w:val="20"/>
  </w:num>
  <w:num w:numId="13" w16cid:durableId="412555750">
    <w:abstractNumId w:val="7"/>
  </w:num>
  <w:num w:numId="14" w16cid:durableId="1821922146">
    <w:abstractNumId w:val="16"/>
  </w:num>
  <w:num w:numId="15" w16cid:durableId="1946883466">
    <w:abstractNumId w:val="19"/>
  </w:num>
  <w:num w:numId="16" w16cid:durableId="734934346">
    <w:abstractNumId w:val="0"/>
  </w:num>
  <w:num w:numId="17" w16cid:durableId="1189873799">
    <w:abstractNumId w:val="2"/>
  </w:num>
  <w:num w:numId="18" w16cid:durableId="977226670">
    <w:abstractNumId w:val="1"/>
  </w:num>
  <w:num w:numId="19" w16cid:durableId="401567055">
    <w:abstractNumId w:val="8"/>
  </w:num>
  <w:num w:numId="20" w16cid:durableId="1240678726">
    <w:abstractNumId w:val="15"/>
  </w:num>
  <w:num w:numId="21" w16cid:durableId="471404359">
    <w:abstractNumId w:val="9"/>
  </w:num>
  <w:num w:numId="22" w16cid:durableId="1092357944">
    <w:abstractNumId w:val="6"/>
  </w:num>
  <w:num w:numId="23" w16cid:durableId="982268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89"/>
    <w:rsid w:val="000035B0"/>
    <w:rsid w:val="00004CF3"/>
    <w:rsid w:val="00012CED"/>
    <w:rsid w:val="00017525"/>
    <w:rsid w:val="00026B94"/>
    <w:rsid w:val="00027651"/>
    <w:rsid w:val="00034B4C"/>
    <w:rsid w:val="00034C36"/>
    <w:rsid w:val="00043844"/>
    <w:rsid w:val="00044FF4"/>
    <w:rsid w:val="0004632F"/>
    <w:rsid w:val="000469C9"/>
    <w:rsid w:val="00084680"/>
    <w:rsid w:val="0009062B"/>
    <w:rsid w:val="000943C5"/>
    <w:rsid w:val="000C1289"/>
    <w:rsid w:val="000C3D30"/>
    <w:rsid w:val="000C7113"/>
    <w:rsid w:val="000D34F6"/>
    <w:rsid w:val="000E0E21"/>
    <w:rsid w:val="000E3D5D"/>
    <w:rsid w:val="000F1722"/>
    <w:rsid w:val="000F3C40"/>
    <w:rsid w:val="000F3D0B"/>
    <w:rsid w:val="000F5AB0"/>
    <w:rsid w:val="001077AC"/>
    <w:rsid w:val="0011525C"/>
    <w:rsid w:val="0013498E"/>
    <w:rsid w:val="001523CF"/>
    <w:rsid w:val="0015786B"/>
    <w:rsid w:val="0016548D"/>
    <w:rsid w:val="00166385"/>
    <w:rsid w:val="001921FB"/>
    <w:rsid w:val="00194E72"/>
    <w:rsid w:val="001A5DF7"/>
    <w:rsid w:val="001B65DC"/>
    <w:rsid w:val="001C06BD"/>
    <w:rsid w:val="001E3A37"/>
    <w:rsid w:val="00205797"/>
    <w:rsid w:val="0021704D"/>
    <w:rsid w:val="002203C8"/>
    <w:rsid w:val="00246713"/>
    <w:rsid w:val="00256B8B"/>
    <w:rsid w:val="00270435"/>
    <w:rsid w:val="002756D5"/>
    <w:rsid w:val="00286DF5"/>
    <w:rsid w:val="00294BF9"/>
    <w:rsid w:val="002A5A19"/>
    <w:rsid w:val="002B2FE3"/>
    <w:rsid w:val="002B6995"/>
    <w:rsid w:val="002C0FEF"/>
    <w:rsid w:val="002C49AA"/>
    <w:rsid w:val="002C4FFA"/>
    <w:rsid w:val="002C7B69"/>
    <w:rsid w:val="002D7E2A"/>
    <w:rsid w:val="002E206B"/>
    <w:rsid w:val="002F13B3"/>
    <w:rsid w:val="00330FB4"/>
    <w:rsid w:val="0034258B"/>
    <w:rsid w:val="00345C59"/>
    <w:rsid w:val="003566A2"/>
    <w:rsid w:val="003638A3"/>
    <w:rsid w:val="00371AA1"/>
    <w:rsid w:val="003804E1"/>
    <w:rsid w:val="003A2BF5"/>
    <w:rsid w:val="003C5131"/>
    <w:rsid w:val="003D05C5"/>
    <w:rsid w:val="003D2717"/>
    <w:rsid w:val="003F4BC6"/>
    <w:rsid w:val="003F4E0B"/>
    <w:rsid w:val="00401C97"/>
    <w:rsid w:val="0040448A"/>
    <w:rsid w:val="00413F3D"/>
    <w:rsid w:val="00414508"/>
    <w:rsid w:val="004379F1"/>
    <w:rsid w:val="00437F00"/>
    <w:rsid w:val="00442068"/>
    <w:rsid w:val="00451FDF"/>
    <w:rsid w:val="004572EA"/>
    <w:rsid w:val="004B6D0E"/>
    <w:rsid w:val="004C25F4"/>
    <w:rsid w:val="004C5DC3"/>
    <w:rsid w:val="004D0DFF"/>
    <w:rsid w:val="004D2244"/>
    <w:rsid w:val="004D767F"/>
    <w:rsid w:val="004D7B8C"/>
    <w:rsid w:val="004E577A"/>
    <w:rsid w:val="004F0413"/>
    <w:rsid w:val="004F2EB0"/>
    <w:rsid w:val="005007CF"/>
    <w:rsid w:val="00520A86"/>
    <w:rsid w:val="0052297D"/>
    <w:rsid w:val="0052649C"/>
    <w:rsid w:val="00526FA0"/>
    <w:rsid w:val="005745B4"/>
    <w:rsid w:val="00591B74"/>
    <w:rsid w:val="005B5316"/>
    <w:rsid w:val="005B54AF"/>
    <w:rsid w:val="005C5417"/>
    <w:rsid w:val="005D22DE"/>
    <w:rsid w:val="005E05AA"/>
    <w:rsid w:val="005E1ADF"/>
    <w:rsid w:val="005F1C8E"/>
    <w:rsid w:val="006053FD"/>
    <w:rsid w:val="00610DAF"/>
    <w:rsid w:val="00671251"/>
    <w:rsid w:val="00676057"/>
    <w:rsid w:val="006B4551"/>
    <w:rsid w:val="006C79A4"/>
    <w:rsid w:val="006D0F26"/>
    <w:rsid w:val="006D477D"/>
    <w:rsid w:val="006E2AA5"/>
    <w:rsid w:val="006E5E3F"/>
    <w:rsid w:val="006F117C"/>
    <w:rsid w:val="006F12B4"/>
    <w:rsid w:val="006F4360"/>
    <w:rsid w:val="006F62AC"/>
    <w:rsid w:val="00724DCA"/>
    <w:rsid w:val="0073586F"/>
    <w:rsid w:val="007448B7"/>
    <w:rsid w:val="00746989"/>
    <w:rsid w:val="00765728"/>
    <w:rsid w:val="00774D5B"/>
    <w:rsid w:val="00780920"/>
    <w:rsid w:val="00785DFB"/>
    <w:rsid w:val="007A4A3E"/>
    <w:rsid w:val="007B1305"/>
    <w:rsid w:val="007B428D"/>
    <w:rsid w:val="007C5EDD"/>
    <w:rsid w:val="007F316B"/>
    <w:rsid w:val="008075A4"/>
    <w:rsid w:val="00814248"/>
    <w:rsid w:val="00814B22"/>
    <w:rsid w:val="008207B7"/>
    <w:rsid w:val="00821C5D"/>
    <w:rsid w:val="0083020E"/>
    <w:rsid w:val="0084172D"/>
    <w:rsid w:val="00841DBC"/>
    <w:rsid w:val="008713F8"/>
    <w:rsid w:val="008756A6"/>
    <w:rsid w:val="00887B52"/>
    <w:rsid w:val="00892207"/>
    <w:rsid w:val="008A01D0"/>
    <w:rsid w:val="008A2C11"/>
    <w:rsid w:val="008A5402"/>
    <w:rsid w:val="008A6439"/>
    <w:rsid w:val="008B05FF"/>
    <w:rsid w:val="008C01EF"/>
    <w:rsid w:val="008C43A3"/>
    <w:rsid w:val="008D004B"/>
    <w:rsid w:val="008D1288"/>
    <w:rsid w:val="008E21FC"/>
    <w:rsid w:val="008E3A01"/>
    <w:rsid w:val="008E5373"/>
    <w:rsid w:val="008E6DC2"/>
    <w:rsid w:val="008F2EA9"/>
    <w:rsid w:val="009006CF"/>
    <w:rsid w:val="00910A1E"/>
    <w:rsid w:val="00920E39"/>
    <w:rsid w:val="00921C91"/>
    <w:rsid w:val="00924AED"/>
    <w:rsid w:val="0097320C"/>
    <w:rsid w:val="00985078"/>
    <w:rsid w:val="00993B46"/>
    <w:rsid w:val="009A29CC"/>
    <w:rsid w:val="009B6FBA"/>
    <w:rsid w:val="009C2452"/>
    <w:rsid w:val="009C5B86"/>
    <w:rsid w:val="009D51E4"/>
    <w:rsid w:val="009D6745"/>
    <w:rsid w:val="009E1CC5"/>
    <w:rsid w:val="009E68C3"/>
    <w:rsid w:val="00A01F21"/>
    <w:rsid w:val="00A038B0"/>
    <w:rsid w:val="00A052EF"/>
    <w:rsid w:val="00A108B9"/>
    <w:rsid w:val="00A26A77"/>
    <w:rsid w:val="00A26C42"/>
    <w:rsid w:val="00A274BC"/>
    <w:rsid w:val="00A3248C"/>
    <w:rsid w:val="00A41E72"/>
    <w:rsid w:val="00A52103"/>
    <w:rsid w:val="00A600B0"/>
    <w:rsid w:val="00A65ED3"/>
    <w:rsid w:val="00A709C5"/>
    <w:rsid w:val="00A80CE6"/>
    <w:rsid w:val="00A86F1F"/>
    <w:rsid w:val="00A91DD1"/>
    <w:rsid w:val="00A934A6"/>
    <w:rsid w:val="00A941EA"/>
    <w:rsid w:val="00AB1739"/>
    <w:rsid w:val="00AC37DA"/>
    <w:rsid w:val="00AC634C"/>
    <w:rsid w:val="00AD1360"/>
    <w:rsid w:val="00AD6990"/>
    <w:rsid w:val="00AD6CF7"/>
    <w:rsid w:val="00AF3C6D"/>
    <w:rsid w:val="00B04598"/>
    <w:rsid w:val="00B04703"/>
    <w:rsid w:val="00B21B69"/>
    <w:rsid w:val="00B2269E"/>
    <w:rsid w:val="00B63B8C"/>
    <w:rsid w:val="00B64C67"/>
    <w:rsid w:val="00B750E8"/>
    <w:rsid w:val="00B96660"/>
    <w:rsid w:val="00BA1DCF"/>
    <w:rsid w:val="00BA3644"/>
    <w:rsid w:val="00BA4973"/>
    <w:rsid w:val="00BA4FC6"/>
    <w:rsid w:val="00BA778D"/>
    <w:rsid w:val="00BC1784"/>
    <w:rsid w:val="00BD1246"/>
    <w:rsid w:val="00BF5968"/>
    <w:rsid w:val="00C000BA"/>
    <w:rsid w:val="00C14684"/>
    <w:rsid w:val="00C15EA8"/>
    <w:rsid w:val="00C211B1"/>
    <w:rsid w:val="00C24110"/>
    <w:rsid w:val="00C2428C"/>
    <w:rsid w:val="00C32652"/>
    <w:rsid w:val="00C520A9"/>
    <w:rsid w:val="00C52B6D"/>
    <w:rsid w:val="00C852A2"/>
    <w:rsid w:val="00C924B9"/>
    <w:rsid w:val="00CB2A68"/>
    <w:rsid w:val="00CB6666"/>
    <w:rsid w:val="00CD0FA4"/>
    <w:rsid w:val="00CD16C1"/>
    <w:rsid w:val="00CD6796"/>
    <w:rsid w:val="00CE66A2"/>
    <w:rsid w:val="00CF30EF"/>
    <w:rsid w:val="00D02E50"/>
    <w:rsid w:val="00D06A76"/>
    <w:rsid w:val="00D06B29"/>
    <w:rsid w:val="00D21155"/>
    <w:rsid w:val="00D26B9A"/>
    <w:rsid w:val="00D53303"/>
    <w:rsid w:val="00D55D1C"/>
    <w:rsid w:val="00D56837"/>
    <w:rsid w:val="00D67196"/>
    <w:rsid w:val="00D90471"/>
    <w:rsid w:val="00D9057E"/>
    <w:rsid w:val="00DA26B6"/>
    <w:rsid w:val="00DA3134"/>
    <w:rsid w:val="00DB500F"/>
    <w:rsid w:val="00DB5418"/>
    <w:rsid w:val="00DD4B1E"/>
    <w:rsid w:val="00DD6338"/>
    <w:rsid w:val="00E06D44"/>
    <w:rsid w:val="00E3078D"/>
    <w:rsid w:val="00E36866"/>
    <w:rsid w:val="00E408C4"/>
    <w:rsid w:val="00E50CEB"/>
    <w:rsid w:val="00E65EA8"/>
    <w:rsid w:val="00E670E2"/>
    <w:rsid w:val="00E77F04"/>
    <w:rsid w:val="00E867F6"/>
    <w:rsid w:val="00E93A0A"/>
    <w:rsid w:val="00EB5799"/>
    <w:rsid w:val="00ED1270"/>
    <w:rsid w:val="00ED1C69"/>
    <w:rsid w:val="00ED37C8"/>
    <w:rsid w:val="00ED5DE3"/>
    <w:rsid w:val="00EE0EA2"/>
    <w:rsid w:val="00EF069A"/>
    <w:rsid w:val="00EF5955"/>
    <w:rsid w:val="00EF7EB4"/>
    <w:rsid w:val="00F00791"/>
    <w:rsid w:val="00F01BA3"/>
    <w:rsid w:val="00F33343"/>
    <w:rsid w:val="00F366C6"/>
    <w:rsid w:val="00F57F67"/>
    <w:rsid w:val="00F6232F"/>
    <w:rsid w:val="00F73D45"/>
    <w:rsid w:val="00F84F7D"/>
    <w:rsid w:val="00F922EB"/>
    <w:rsid w:val="00FA267C"/>
    <w:rsid w:val="00FA6F96"/>
    <w:rsid w:val="00FB0EF7"/>
    <w:rsid w:val="00FC4BC4"/>
    <w:rsid w:val="00FC72D2"/>
    <w:rsid w:val="00FC75CF"/>
    <w:rsid w:val="00FD58BB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9D0B488"/>
  <w15:chartTrackingRefBased/>
  <w15:docId w15:val="{5A0A34F0-6E29-4D0D-8C3E-388610C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068"/>
  </w:style>
  <w:style w:type="paragraph" w:styleId="Nagwek1">
    <w:name w:val="heading 1"/>
    <w:basedOn w:val="Normalny"/>
    <w:next w:val="Normalny"/>
    <w:link w:val="Nagwek1Znak"/>
    <w:uiPriority w:val="9"/>
    <w:qFormat/>
    <w:rsid w:val="000C1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C1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2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2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2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2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2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2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12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2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2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2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2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1D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D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CF7"/>
  </w:style>
  <w:style w:type="paragraph" w:styleId="Stopka">
    <w:name w:val="footer"/>
    <w:basedOn w:val="Normalny"/>
    <w:link w:val="StopkaZnak"/>
    <w:uiPriority w:val="99"/>
    <w:unhideWhenUsed/>
    <w:rsid w:val="00AD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CF7"/>
  </w:style>
  <w:style w:type="table" w:styleId="Tabela-Siatka">
    <w:name w:val="Table Grid"/>
    <w:basedOn w:val="Standardowy"/>
    <w:uiPriority w:val="39"/>
    <w:rsid w:val="00887B52"/>
    <w:pPr>
      <w:spacing w:after="0" w:line="240" w:lineRule="auto"/>
    </w:pPr>
    <w:rPr>
      <w:rFonts w:ascii="Aptos" w:hAnsi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4B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C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4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5668">
          <w:marLeft w:val="0"/>
          <w:marRight w:val="0"/>
          <w:marTop w:val="0"/>
          <w:marBottom w:val="0"/>
          <w:divBdr>
            <w:top w:val="single" w:sz="6" w:space="31" w:color="E9EDF4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462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3545">
                              <w:marLeft w:val="0"/>
                              <w:marRight w:val="0"/>
                              <w:marTop w:val="30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673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6218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3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1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41406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64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4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7705">
          <w:marLeft w:val="0"/>
          <w:marRight w:val="0"/>
          <w:marTop w:val="0"/>
          <w:marBottom w:val="0"/>
          <w:divBdr>
            <w:top w:val="single" w:sz="6" w:space="31" w:color="E9EDF4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888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58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324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1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486161">
                              <w:marLeft w:val="0"/>
                              <w:marRight w:val="0"/>
                              <w:marTop w:val="30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93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8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946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orlen_syntho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ge.com" TargetMode="External"/><Relationship Id="rId12" Type="http://schemas.openxmlformats.org/officeDocument/2006/relationships/hyperlink" Target="mailto:arkadiusz.lorenc@linkleader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usz.ilnicki@osg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d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84574216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934</Words>
  <Characters>6669</Characters>
  <Application>Microsoft Office Word</Application>
  <DocSecurity>4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Ilnicki Mariusz</dc:creator>
  <cp:keywords/>
  <dc:description/>
  <cp:lastModifiedBy>Kowalski Tomasz</cp:lastModifiedBy>
  <cp:revision>2</cp:revision>
  <cp:lastPrinted>2024-12-14T05:11:00Z</cp:lastPrinted>
  <dcterms:created xsi:type="dcterms:W3CDTF">2025-07-08T12:14:00Z</dcterms:created>
  <dcterms:modified xsi:type="dcterms:W3CDTF">2025-07-08T12:14:00Z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ee3216c2-d353-4815-89c6-79a3e29835b6</vt:lpwstr>
  </property>
</Properties>
</file>