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Uno de cada diez usuarios de juego en línea será víctima de intentos de fraude en 2025</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rPr>
      </w:pPr>
      <w:r w:rsidDel="00000000" w:rsidR="00000000" w:rsidRPr="00000000">
        <w:rPr>
          <w:rFonts w:ascii="Calibri" w:cs="Calibri" w:eastAsia="Calibri" w:hAnsi="Calibri"/>
          <w:i w:val="1"/>
          <w:rtl w:val="0"/>
        </w:rPr>
        <w:t xml:space="preserve">La falsificación y la suplantación de identidades, junto con el robo de cuentas, continuarán siendo los peligros más habituales a los que se enfrentarán los usuarios mexicanos, especialmente en la creación de nuevas cuentas, la realización de apuestas y en la retirada y cobro de fondos.</w:t>
      </w:r>
    </w:p>
    <w:p w:rsidR="00000000" w:rsidDel="00000000" w:rsidP="00000000" w:rsidRDefault="00000000" w:rsidRPr="00000000" w14:paraId="0000000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rPr>
      </w:pPr>
      <w:r w:rsidDel="00000000" w:rsidR="00000000" w:rsidRPr="00000000">
        <w:rPr>
          <w:rFonts w:ascii="Calibri" w:cs="Calibri" w:eastAsia="Calibri" w:hAnsi="Calibri"/>
          <w:i w:val="1"/>
          <w:rtl w:val="0"/>
        </w:rPr>
        <w:t xml:space="preserve">El problema del fraude en el sector del juego en línea se enmarca en un crecimiento generalizado del número de estafas en el sector financiero que, de acuerdo con la CONDUSEF, podría alcanzar un impacto económico de más de 17 mil 400 millones de pesos este año.</w:t>
      </w:r>
    </w:p>
    <w:p w:rsidR="00000000" w:rsidDel="00000000" w:rsidP="00000000" w:rsidRDefault="00000000" w:rsidRPr="00000000" w14:paraId="00000006">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rPr>
      </w:pPr>
      <w:hyperlink r:id="rId7">
        <w:r w:rsidDel="00000000" w:rsidR="00000000" w:rsidRPr="00000000">
          <w:rPr>
            <w:rFonts w:ascii="Calibri" w:cs="Calibri" w:eastAsia="Calibri" w:hAnsi="Calibri"/>
            <w:i w:val="1"/>
            <w:color w:val="1155cc"/>
            <w:u w:val="single"/>
            <w:rtl w:val="0"/>
          </w:rPr>
          <w:t xml:space="preserve">Identy.io</w:t>
        </w:r>
      </w:hyperlink>
      <w:r w:rsidDel="00000000" w:rsidR="00000000" w:rsidRPr="00000000">
        <w:rPr>
          <w:rFonts w:ascii="Calibri" w:cs="Calibri" w:eastAsia="Calibri" w:hAnsi="Calibri"/>
          <w:i w:val="1"/>
          <w:rtl w:val="0"/>
        </w:rPr>
        <w:t xml:space="preserve"> pone a disposición de la industria de juego online mexicana sus soluciones de verificación de identidad mediante biometría que, a través de tecnologías como la prueba de vida pasiva, </w:t>
      </w:r>
      <w:r w:rsidDel="00000000" w:rsidR="00000000" w:rsidRPr="00000000">
        <w:rPr>
          <w:rFonts w:ascii="Calibri" w:cs="Calibri" w:eastAsia="Calibri" w:hAnsi="Calibri"/>
          <w:rtl w:val="0"/>
        </w:rPr>
        <w:t xml:space="preserve">han demostrado su utilidad en otros sectores reduciendo a prácticamente cero el riesgo de sufrir fraudes</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La industria del juego online continuará durante este año siendo una de las más afectadas por el fraude causado por el robo o la falsificación de identidades, de tal forma que uno de cada diez usuarios sufrirá al menos un intento de fraude durante este año. Una cifra que continúa creciendo respecto al año pasado, cuando, de acuerdo con el Informe de Fraude Omnicanal de la empresa de valoración crediticia internacional TransUnion, ya alcanzaba el 9,4%, solo por detrás en el ámbito digital de los intentos de estafa en comunidades en línea (11.9%) y en videojuegos (11%).</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Según este informe, el Vishing -una técnica por la que los estafadores intentan inducir a las víctimas del fraude a revelar información personal que se pueda utilizar para llevar a cabo estafas en su nombre-, junto con la suplantación y la falsificación de identidades, continúan siendo los principales riesgos a los que se enfrentan los usuarios mexicanos de juego online. La creación de nuevas cuentas -en ocasiones, decenas de ellas de forma simultánea-, la realización de apuestas utilizando métodos de pago fraudulentos o la retirada y cobro de fondos son las principales actividades que afectarán a los usuarios y que supondrán un importante vector de riesgo para la industria.</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Consciente del importante impacto económico que conlleva el fraude en el sector del juego online y las consecuencias colaterales que conlleva -se estima que un porcentaje muy alto de las personas estafadas reducen exponencialmente su actividad digital, especialmente en compras en línea o en interacciones con bancos o entidades financieras-, </w:t>
      </w:r>
      <w:hyperlink r:id="rId8">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compañía internacional líder en soluciones de identificación biométrica sin contacto y gestión de credenciales digitales, hace un llamamiento a la industria para que se incremente drásticamente el control sobre la identidad de los usuarios que acceden a sus servicios para reducir el acceso no autorizado a las plataformas de juego -menores o usuarios con problemas de ludopatía- y los casos de fraude por robo o suplantación de identidad.</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En este sentido, </w:t>
      </w:r>
      <w:hyperlink r:id="rId9">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pone a disposición de la industria su cartera de soluciones de verificación de identidad mediante biometría, que incorporan importantes avances tecnológicos como la prueba de vida (liveness) pasiva, que reduce drásticamente la posibilidad de acceder a la información personal de los usuarios incluso presentando personalidades sintéticas generadas por inteligencia artificial, o réplicas exactas de la huella digital en moldes de silicona, sin que el usuario necesite interactuar con el sistema de una forma específica o llevando a cabo acciones predefinidas -por ejemplo, mover la cabeza-. A diferencia de otras alternativas en el mercado, las soluciones de </w:t>
      </w:r>
      <w:hyperlink r:id="rId10">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almacenan toda la información del usuario en su propio celular -sin requerir terminales de última generación, solo necesitando que cuenten con una cámara y flash-, evitando la necesidad de intercambiar información con servidores en la nube, lo que a su vez reduce el riesgo de robos o filtraciones de información que puedan, posteriormente, utilizarse para la comisión de fraudes en línea.</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Según Jesús Aragón, CEO de </w:t>
      </w:r>
      <w:hyperlink r:id="rId11">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“la verificación de la identidad mediante tecnología biométrica ya es un aliado para industrias como la banca, las telecomunicaciones o la protección de fronteras, en las que ha demostrado su utilidad reduciendo a prácticamente cero el riesgo de sufrir fraudes por robo o suplantación de identidad. Por eso, creemos que las soluciones de </w:t>
      </w:r>
      <w:hyperlink r:id="rId12">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además de resultar más seguras y sencillas de utilizar para el usuario final, garantizan la reducción del impacto económico que causa el fraude en la industria del juego en línea y, por tanto, su viabilidad futura”.</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El fraude en el sector del juego en línea no es el único que, en la actualidad, continúa creciendo en México. Así, de acuerdo con la Comisión Nacional para la Protección y Defensa de los Usuarios de Servicios Financieros (CONDUSEF), las pérdidas causadas por fraudes financieros en 2025 podrían superar los 17 mil 400 millones de pesos, frente a los 14 mil 500 millones registrados en 2024. De acuerdo con esta entidad, el robo o la suplantación de identidad ya representa el 40% de los casos.</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after="460" w:line="276" w:lineRule="auto"/>
        <w:jc w:val="both"/>
        <w:rPr>
          <w:rFonts w:ascii="Inter" w:cs="Inter" w:eastAsia="Inter" w:hAnsi="Inter"/>
          <w:color w:val="212b35"/>
          <w:sz w:val="24"/>
          <w:szCs w:val="24"/>
        </w:rPr>
      </w:pPr>
      <w:r w:rsidDel="00000000" w:rsidR="00000000" w:rsidRPr="00000000">
        <w:rPr>
          <w:rFonts w:ascii="Calibri" w:cs="Calibri" w:eastAsia="Calibri" w:hAnsi="Calibri"/>
          <w:rtl w:val="0"/>
        </w:rPr>
        <w:t xml:space="preserve">Las soluciones de </w:t>
      </w:r>
      <w:hyperlink r:id="rId13">
        <w:r w:rsidDel="00000000" w:rsidR="00000000" w:rsidRPr="00000000">
          <w:rPr>
            <w:rFonts w:ascii="Calibri" w:cs="Calibri" w:eastAsia="Calibri" w:hAnsi="Calibri"/>
            <w:rtl w:val="0"/>
          </w:rPr>
          <w:t xml:space="preserve">Identy.io</w:t>
        </w:r>
      </w:hyperlink>
      <w:r w:rsidDel="00000000" w:rsidR="00000000" w:rsidRPr="00000000">
        <w:rPr>
          <w:rFonts w:ascii="Calibri" w:cs="Calibri" w:eastAsia="Calibri" w:hAnsi="Calibri"/>
          <w:rtl w:val="0"/>
        </w:rPr>
        <w:t xml:space="preserve"> no solo ofrecen un interfaz seguro y fácil de utilizar para el usuario final, sino que también contribuyen a aumentar la eficiencia y la rentabilidad en su uso para las entidades públicas y privadas que las implementa, al no necesitar de costosas inversiones en infraestructuras de terceros o de gestión en la nube para almacenar y gestionar las credenciales digitales de los usuarios. Además, cumplen con los máximos estándares de seguridad, como los propuestos por el NIST (National Institute of Standards and Technology) norteamericano, al respaldar procesos eKYC (“Conozca Digitalmente a su Cliente”, por sus siglas en inglés) y marcos AML (contra el blanqueo de capitales), además de cumplir la norma ISO 30107-3 sobre prueba de vida (liveness), lo que garantiza la seguridad y la precisión de su cartera de aplicaciones de gestión biométrica de identidad.</w:t>
      </w:r>
      <w:r w:rsidDel="00000000" w:rsidR="00000000" w:rsidRPr="00000000">
        <w:rPr>
          <w:rtl w:val="0"/>
        </w:rPr>
      </w:r>
    </w:p>
    <w:p w:rsidR="00000000" w:rsidDel="00000000" w:rsidP="00000000" w:rsidRDefault="00000000" w:rsidRPr="00000000" w14:paraId="00000016">
      <w:pPr>
        <w:shd w:fill="ffffff" w:val="clear"/>
        <w:spacing w:after="4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Sobre Identy.io</w:t>
      </w:r>
    </w:p>
    <w:p w:rsidR="00000000" w:rsidDel="00000000" w:rsidP="00000000" w:rsidRDefault="00000000" w:rsidRPr="00000000" w14:paraId="00000017">
      <w:pPr>
        <w:shd w:fill="ffffff" w:val="clear"/>
        <w:spacing w:after="460" w:line="276" w:lineRule="auto"/>
        <w:jc w:val="both"/>
        <w:rPr>
          <w:rFonts w:ascii="Calibri" w:cs="Calibri" w:eastAsia="Calibri" w:hAnsi="Calibri"/>
        </w:rPr>
      </w:pPr>
      <w:r w:rsidDel="00000000" w:rsidR="00000000" w:rsidRPr="00000000">
        <w:rPr>
          <w:rFonts w:ascii="Calibri" w:cs="Calibri" w:eastAsia="Calibri" w:hAnsi="Calibri"/>
          <w:rtl w:val="0"/>
        </w:rPr>
        <w:t xml:space="preserve">Con sede central en Estados Unidos y oficinas en Brasil, México, Colombia, España e India, Identy.io ofrece una plataforma integral para biometría móvil sin contacto, que permite el reconocimiento facial, de huellas dactilares y de la palma de la mano, junto con soluciones de identificación digital como carteras de identidad digital (ID Wallets) y credenciales QR encriptadas. Su tecnología patentada en el dispositivo incluye prueba de vida (liveness) certificada, procesamiento de documentos de identidad e interoperabilidad para la gestión de identidades biométricas, funcionando sin necesidad de servidores ni conectividad constante.</w:t>
      </w:r>
    </w:p>
    <w:p w:rsidR="00000000" w:rsidDel="00000000" w:rsidP="00000000" w:rsidRDefault="00000000" w:rsidRPr="00000000" w14:paraId="00000018">
      <w:pPr>
        <w:shd w:fill="ffffff" w:val="clear"/>
        <w:spacing w:after="460" w:line="276" w:lineRule="auto"/>
        <w:jc w:val="both"/>
        <w:rPr>
          <w:rFonts w:ascii="Calibri" w:cs="Calibri" w:eastAsia="Calibri" w:hAnsi="Calibri"/>
        </w:rPr>
      </w:pPr>
      <w:r w:rsidDel="00000000" w:rsidR="00000000" w:rsidRPr="00000000">
        <w:rPr>
          <w:rFonts w:ascii="Calibri" w:cs="Calibri" w:eastAsia="Calibri" w:hAnsi="Calibri"/>
          <w:rtl w:val="0"/>
        </w:rPr>
        <w:t xml:space="preserve">Identy.io reemplaza métodos obsoletos como contraseñas, tokens y OTP (contraseñas de un solo uso) con una autenticación segura y centrada en la privacidad. Con la confianza de gobiernos y corporaciones, la plataforma cumple con los estándares FIDO, NIST e ISO y ha procesado más de mil millones de transacciones en todo el mundo, ofreciendo una solución rentable y escalable para la verificación de identidad en entornos regulados.</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 </w:t>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line="276" w:lineRule="auto"/>
      <w:rPr/>
    </w:pPr>
    <w:r w:rsidDel="00000000" w:rsidR="00000000" w:rsidRPr="00000000">
      <w:rPr/>
      <w:drawing>
        <wp:inline distB="114300" distT="114300" distL="114300" distR="114300">
          <wp:extent cx="2680349" cy="6010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80349" cy="6010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identy.io" TargetMode="External"/><Relationship Id="rId10" Type="http://schemas.openxmlformats.org/officeDocument/2006/relationships/hyperlink" Target="http://identy.io" TargetMode="External"/><Relationship Id="rId13" Type="http://schemas.openxmlformats.org/officeDocument/2006/relationships/hyperlink" Target="http://identy.io/" TargetMode="External"/><Relationship Id="rId12" Type="http://schemas.openxmlformats.org/officeDocument/2006/relationships/hyperlink" Target="http://identy.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denty.i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denty.io" TargetMode="External"/><Relationship Id="rId8" Type="http://schemas.openxmlformats.org/officeDocument/2006/relationships/hyperlink" Target="http://identy.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Ktb2l3LqU3q3rRB2InM6cX+CA==">CgMxLjA4AHIhMVVRclhnYmxaeTN1Q2hvajlfX1hmV1o3eXRMbnZpdFZS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