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CB04" w14:textId="77777777" w:rsidR="002106DB" w:rsidRDefault="002106DB" w:rsidP="00AF134A">
      <w:pPr>
        <w:ind w:left="708" w:hanging="708"/>
        <w:jc w:val="center"/>
      </w:pPr>
      <w:r>
        <w:rPr>
          <w:noProof/>
        </w:rPr>
        <w:drawing>
          <wp:inline distT="114300" distB="114300" distL="114300" distR="114300" wp14:anchorId="14772DD6" wp14:editId="3B2631DA">
            <wp:extent cx="4395788" cy="1190222"/>
            <wp:effectExtent l="0" t="0" r="0" b="0"/>
            <wp:docPr id="1" name="Imagem 1" descr="Uma imagem com text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Uma imagem com texto&#10;&#10;Descrição gerada automaticament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5788" cy="11902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C354E8" w14:textId="77777777" w:rsidR="002106DB" w:rsidRDefault="002106DB" w:rsidP="002106DB">
      <w:pPr>
        <w:jc w:val="center"/>
        <w:rPr>
          <w:rFonts w:ascii="Calibri" w:hAnsi="Calibri" w:cs="Calibri"/>
          <w:b/>
          <w:sz w:val="18"/>
          <w:szCs w:val="18"/>
        </w:rPr>
      </w:pPr>
    </w:p>
    <w:p w14:paraId="106BFC52" w14:textId="77777777" w:rsidR="002266DD" w:rsidRPr="00BD5611" w:rsidRDefault="002266DD" w:rsidP="002106DB">
      <w:pPr>
        <w:jc w:val="center"/>
        <w:rPr>
          <w:rFonts w:ascii="Calibri" w:hAnsi="Calibri" w:cs="Calibri"/>
          <w:b/>
          <w:sz w:val="18"/>
          <w:szCs w:val="18"/>
        </w:rPr>
      </w:pPr>
    </w:p>
    <w:p w14:paraId="29C840B9" w14:textId="77777777" w:rsidR="00E523F1" w:rsidRDefault="00E523F1" w:rsidP="002106D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Novo relatório da </w:t>
      </w:r>
      <w:r w:rsidR="00081EEC" w:rsidRPr="00B35C5E">
        <w:rPr>
          <w:rFonts w:asciiTheme="minorHAnsi" w:hAnsiTheme="minorHAnsi" w:cstheme="minorHAnsi"/>
          <w:b/>
          <w:sz w:val="32"/>
          <w:szCs w:val="32"/>
        </w:rPr>
        <w:t xml:space="preserve">Portugal Sotheby’s International Realty </w:t>
      </w:r>
    </w:p>
    <w:p w14:paraId="32AD69E7" w14:textId="6A39EC52" w:rsidR="0062375C" w:rsidRDefault="0082251F" w:rsidP="002106D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revela que o </w:t>
      </w:r>
      <w:r w:rsidR="00CF73F9">
        <w:rPr>
          <w:rFonts w:asciiTheme="minorHAnsi" w:hAnsiTheme="minorHAnsi" w:cstheme="minorHAnsi"/>
          <w:b/>
          <w:sz w:val="32"/>
          <w:szCs w:val="32"/>
        </w:rPr>
        <w:t>i</w:t>
      </w:r>
      <w:r w:rsidRPr="0082251F">
        <w:rPr>
          <w:rFonts w:asciiTheme="minorHAnsi" w:hAnsiTheme="minorHAnsi" w:cstheme="minorHAnsi"/>
          <w:b/>
          <w:sz w:val="32"/>
          <w:szCs w:val="32"/>
        </w:rPr>
        <w:t>mobiliário de luxo resiste à incerteza global</w:t>
      </w:r>
    </w:p>
    <w:p w14:paraId="2149923F" w14:textId="77777777" w:rsidR="0082251F" w:rsidRDefault="0082251F" w:rsidP="002106DB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BF87D61" w14:textId="405EF8BE" w:rsidR="00A445F3" w:rsidRPr="00A445F3" w:rsidRDefault="00547CE9" w:rsidP="00F75E5C">
      <w:pPr>
        <w:spacing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547CE9">
        <w:rPr>
          <w:rFonts w:asciiTheme="minorHAnsi" w:hAnsiTheme="minorHAnsi" w:cstheme="minorHAnsi"/>
          <w:b/>
          <w:i/>
          <w:sz w:val="24"/>
          <w:szCs w:val="24"/>
        </w:rPr>
        <w:t xml:space="preserve">Sexta edição do relatório </w:t>
      </w:r>
      <w:r w:rsidR="00A445F3" w:rsidRPr="00A445F3">
        <w:rPr>
          <w:rFonts w:asciiTheme="minorHAnsi" w:hAnsiTheme="minorHAnsi" w:cstheme="minorHAnsi"/>
          <w:b/>
          <w:i/>
          <w:sz w:val="24"/>
          <w:szCs w:val="24"/>
        </w:rPr>
        <w:t>destaca oportunidades para compradores</w:t>
      </w:r>
      <w:r w:rsidR="005E174E">
        <w:rPr>
          <w:rFonts w:asciiTheme="minorHAnsi" w:hAnsiTheme="minorHAnsi" w:cstheme="minorHAnsi"/>
          <w:b/>
          <w:i/>
          <w:sz w:val="24"/>
          <w:szCs w:val="24"/>
        </w:rPr>
        <w:t xml:space="preserve"> e investidores no segmento</w:t>
      </w:r>
      <w:r w:rsidR="00A445F3" w:rsidRPr="00A445F3">
        <w:rPr>
          <w:rFonts w:asciiTheme="minorHAnsi" w:hAnsiTheme="minorHAnsi" w:cstheme="minorHAnsi"/>
          <w:b/>
          <w:i/>
          <w:sz w:val="24"/>
          <w:szCs w:val="24"/>
        </w:rPr>
        <w:t xml:space="preserve"> de luxo e cinco mercados em ascensão</w:t>
      </w:r>
      <w:r w:rsidR="005E174E">
        <w:rPr>
          <w:rFonts w:asciiTheme="minorHAnsi" w:hAnsiTheme="minorHAnsi" w:cstheme="minorHAnsi"/>
          <w:b/>
          <w:i/>
          <w:sz w:val="24"/>
          <w:szCs w:val="24"/>
        </w:rPr>
        <w:t>,</w:t>
      </w:r>
      <w:r w:rsidR="00A445F3" w:rsidRPr="00A445F3">
        <w:rPr>
          <w:rFonts w:asciiTheme="minorHAnsi" w:hAnsiTheme="minorHAnsi" w:cstheme="minorHAnsi"/>
          <w:b/>
          <w:i/>
          <w:sz w:val="24"/>
          <w:szCs w:val="24"/>
        </w:rPr>
        <w:t xml:space="preserve"> num setor que continua a liderar o imobiliário global</w:t>
      </w:r>
      <w:r w:rsidR="00F75E5C">
        <w:rPr>
          <w:rFonts w:asciiTheme="minorHAnsi" w:hAnsiTheme="minorHAnsi" w:cstheme="minorHAnsi"/>
          <w:b/>
          <w:i/>
          <w:sz w:val="24"/>
          <w:szCs w:val="24"/>
        </w:rPr>
        <w:t>.</w:t>
      </w:r>
    </w:p>
    <w:p w14:paraId="76EEAE1A" w14:textId="77777777" w:rsidR="00A445F3" w:rsidRPr="00A445F3" w:rsidRDefault="00A445F3" w:rsidP="00A445F3">
      <w:pPr>
        <w:spacing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271777F7" w14:textId="1DE7C525" w:rsidR="00D97DD2" w:rsidRDefault="00270276" w:rsidP="00B35C5E">
      <w:pPr>
        <w:spacing w:line="240" w:lineRule="auto"/>
        <w:jc w:val="both"/>
        <w:rPr>
          <w:rFonts w:asciiTheme="minorHAnsi" w:hAnsiTheme="minorHAnsi" w:cstheme="minorHAnsi"/>
        </w:rPr>
      </w:pPr>
      <w:r w:rsidRPr="00B35C5E">
        <w:rPr>
          <w:rFonts w:asciiTheme="minorHAnsi" w:hAnsiTheme="minorHAnsi" w:cstheme="minorHAnsi"/>
          <w:b/>
          <w:bCs/>
        </w:rPr>
        <w:t>Lisboa,</w:t>
      </w:r>
      <w:r w:rsidR="00BF121E" w:rsidRPr="00BF121E">
        <w:rPr>
          <w:rFonts w:asciiTheme="minorHAnsi" w:hAnsiTheme="minorHAnsi" w:cstheme="minorHAnsi"/>
          <w:b/>
          <w:bCs/>
        </w:rPr>
        <w:t xml:space="preserve"> </w:t>
      </w:r>
      <w:r w:rsidR="001F19DD">
        <w:rPr>
          <w:rFonts w:asciiTheme="minorHAnsi" w:hAnsiTheme="minorHAnsi" w:cstheme="minorHAnsi"/>
          <w:b/>
          <w:bCs/>
        </w:rPr>
        <w:t>2</w:t>
      </w:r>
      <w:r w:rsidR="00854884">
        <w:rPr>
          <w:rFonts w:asciiTheme="minorHAnsi" w:hAnsiTheme="minorHAnsi" w:cstheme="minorHAnsi"/>
          <w:b/>
          <w:bCs/>
        </w:rPr>
        <w:t>6</w:t>
      </w:r>
      <w:r w:rsidR="001F19DD">
        <w:rPr>
          <w:rFonts w:asciiTheme="minorHAnsi" w:hAnsiTheme="minorHAnsi" w:cstheme="minorHAnsi"/>
          <w:b/>
          <w:bCs/>
        </w:rPr>
        <w:t xml:space="preserve"> de junho</w:t>
      </w:r>
      <w:r w:rsidR="00BF121E" w:rsidRPr="00BF121E">
        <w:rPr>
          <w:rFonts w:asciiTheme="minorHAnsi" w:hAnsiTheme="minorHAnsi" w:cstheme="minorHAnsi"/>
          <w:b/>
          <w:bCs/>
        </w:rPr>
        <w:t xml:space="preserve"> de 2025</w:t>
      </w:r>
      <w:r w:rsidR="00BF121E" w:rsidRPr="00BF121E">
        <w:rPr>
          <w:rFonts w:asciiTheme="minorHAnsi" w:hAnsiTheme="minorHAnsi" w:cstheme="minorHAnsi"/>
        </w:rPr>
        <w:t xml:space="preserve"> – </w:t>
      </w:r>
      <w:r w:rsidR="00D97DD2" w:rsidRPr="00B35C5E">
        <w:rPr>
          <w:rFonts w:asciiTheme="minorHAnsi" w:hAnsiTheme="minorHAnsi" w:cstheme="minorHAnsi"/>
        </w:rPr>
        <w:t>A</w:t>
      </w:r>
      <w:r w:rsidR="00D97DD2" w:rsidRPr="00BF121E">
        <w:rPr>
          <w:rFonts w:asciiTheme="minorHAnsi" w:hAnsiTheme="minorHAnsi" w:cstheme="minorHAnsi"/>
        </w:rPr>
        <w:t xml:space="preserve"> </w:t>
      </w:r>
      <w:r w:rsidR="00D97DD2" w:rsidRPr="00B35C5E">
        <w:rPr>
          <w:rFonts w:asciiTheme="minorHAnsi" w:hAnsiTheme="minorHAnsi" w:cstheme="minorHAnsi"/>
        </w:rPr>
        <w:t>Portugal</w:t>
      </w:r>
      <w:r w:rsidR="00D97DD2" w:rsidRPr="00BF121E">
        <w:rPr>
          <w:rFonts w:asciiTheme="minorHAnsi" w:hAnsiTheme="minorHAnsi" w:cstheme="minorHAnsi"/>
        </w:rPr>
        <w:t xml:space="preserve"> Sotheby’s International Realty </w:t>
      </w:r>
      <w:r w:rsidR="005F2458">
        <w:rPr>
          <w:rFonts w:asciiTheme="minorHAnsi" w:hAnsiTheme="minorHAnsi" w:cstheme="minorHAnsi"/>
        </w:rPr>
        <w:t>acaba de divulgar</w:t>
      </w:r>
      <w:r w:rsidR="00D97DD2" w:rsidRPr="00BF121E">
        <w:rPr>
          <w:rFonts w:asciiTheme="minorHAnsi" w:hAnsiTheme="minorHAnsi" w:cstheme="minorHAnsi"/>
        </w:rPr>
        <w:t xml:space="preserve"> o seu relatório</w:t>
      </w:r>
      <w:r w:rsidR="00F82546">
        <w:rPr>
          <w:rFonts w:asciiTheme="minorHAnsi" w:hAnsiTheme="minorHAnsi" w:cstheme="minorHAnsi"/>
        </w:rPr>
        <w:t xml:space="preserve"> </w:t>
      </w:r>
      <w:hyperlink r:id="rId10" w:history="1">
        <w:r w:rsidR="00F82546">
          <w:rPr>
            <w:rStyle w:val="Hiperligao"/>
            <w:rFonts w:asciiTheme="minorHAnsi" w:hAnsiTheme="minorHAnsi" w:cstheme="minorHAnsi"/>
          </w:rPr>
          <w:t>2025 Mid-Year Luxury Outlook</w:t>
        </w:r>
        <w:r w:rsidR="00F82546" w:rsidRPr="00F82546">
          <w:rPr>
            <w:rStyle w:val="Hiperligao"/>
            <w:rFonts w:asciiTheme="minorHAnsi" w:hAnsiTheme="minorHAnsi" w:cstheme="minorHAnsi"/>
            <w:vertAlign w:val="superscript"/>
          </w:rPr>
          <w:t>SM</w:t>
        </w:r>
      </w:hyperlink>
      <w:r w:rsidR="009164A2">
        <w:rPr>
          <w:rFonts w:asciiTheme="minorHAnsi" w:hAnsiTheme="minorHAnsi" w:cstheme="minorHAnsi"/>
        </w:rPr>
        <w:t xml:space="preserve">, </w:t>
      </w:r>
      <w:r w:rsidR="00D97DD2" w:rsidRPr="00D97DD2">
        <w:rPr>
          <w:rFonts w:asciiTheme="minorHAnsi" w:hAnsiTheme="minorHAnsi" w:cstheme="minorHAnsi"/>
        </w:rPr>
        <w:t xml:space="preserve">que </w:t>
      </w:r>
      <w:r w:rsidR="00B66AFE">
        <w:rPr>
          <w:rFonts w:asciiTheme="minorHAnsi" w:hAnsiTheme="minorHAnsi" w:cstheme="minorHAnsi"/>
        </w:rPr>
        <w:t xml:space="preserve">vem </w:t>
      </w:r>
      <w:r w:rsidR="00D97DD2" w:rsidRPr="00D97DD2">
        <w:rPr>
          <w:rFonts w:asciiTheme="minorHAnsi" w:hAnsiTheme="minorHAnsi" w:cstheme="minorHAnsi"/>
        </w:rPr>
        <w:t>reforça</w:t>
      </w:r>
      <w:r w:rsidR="00B66AFE">
        <w:rPr>
          <w:rFonts w:asciiTheme="minorHAnsi" w:hAnsiTheme="minorHAnsi" w:cstheme="minorHAnsi"/>
        </w:rPr>
        <w:t>r</w:t>
      </w:r>
      <w:r w:rsidR="00D97DD2" w:rsidRPr="00D97DD2">
        <w:rPr>
          <w:rFonts w:asciiTheme="minorHAnsi" w:hAnsiTheme="minorHAnsi" w:cstheme="minorHAnsi"/>
        </w:rPr>
        <w:t xml:space="preserve"> o papel </w:t>
      </w:r>
      <w:r w:rsidR="007D1C53">
        <w:rPr>
          <w:rFonts w:asciiTheme="minorHAnsi" w:hAnsiTheme="minorHAnsi" w:cstheme="minorHAnsi"/>
        </w:rPr>
        <w:t>relevante que o</w:t>
      </w:r>
      <w:r w:rsidR="00D97DD2" w:rsidRPr="00D97DD2">
        <w:rPr>
          <w:rFonts w:asciiTheme="minorHAnsi" w:hAnsiTheme="minorHAnsi" w:cstheme="minorHAnsi"/>
        </w:rPr>
        <w:t xml:space="preserve"> imobiliário de luxo </w:t>
      </w:r>
      <w:r w:rsidR="007D1C53">
        <w:rPr>
          <w:rFonts w:asciiTheme="minorHAnsi" w:hAnsiTheme="minorHAnsi" w:cstheme="minorHAnsi"/>
        </w:rPr>
        <w:t xml:space="preserve">cumpre </w:t>
      </w:r>
      <w:r w:rsidR="00D97DD2" w:rsidRPr="00D97DD2">
        <w:rPr>
          <w:rFonts w:asciiTheme="minorHAnsi" w:hAnsiTheme="minorHAnsi" w:cstheme="minorHAnsi"/>
        </w:rPr>
        <w:t xml:space="preserve">como </w:t>
      </w:r>
      <w:r w:rsidR="00F75E5C">
        <w:rPr>
          <w:rFonts w:asciiTheme="minorHAnsi" w:hAnsiTheme="minorHAnsi" w:cstheme="minorHAnsi"/>
        </w:rPr>
        <w:t>“</w:t>
      </w:r>
      <w:r w:rsidR="00D97DD2" w:rsidRPr="00D97DD2">
        <w:rPr>
          <w:rFonts w:asciiTheme="minorHAnsi" w:hAnsiTheme="minorHAnsi" w:cstheme="minorHAnsi"/>
        </w:rPr>
        <w:t>porto seguro</w:t>
      </w:r>
      <w:r w:rsidR="00F75E5C">
        <w:rPr>
          <w:rFonts w:asciiTheme="minorHAnsi" w:hAnsiTheme="minorHAnsi" w:cstheme="minorHAnsi"/>
        </w:rPr>
        <w:t>”</w:t>
      </w:r>
      <w:r w:rsidR="00A73089">
        <w:rPr>
          <w:rFonts w:asciiTheme="minorHAnsi" w:hAnsiTheme="minorHAnsi" w:cstheme="minorHAnsi"/>
        </w:rPr>
        <w:t xml:space="preserve">, </w:t>
      </w:r>
      <w:r w:rsidR="00A73089" w:rsidRPr="00D97DD2">
        <w:rPr>
          <w:rFonts w:asciiTheme="minorHAnsi" w:hAnsiTheme="minorHAnsi" w:cstheme="minorHAnsi"/>
        </w:rPr>
        <w:t>num contexto de transformação d</w:t>
      </w:r>
      <w:r w:rsidR="00A73089">
        <w:rPr>
          <w:rFonts w:asciiTheme="minorHAnsi" w:hAnsiTheme="minorHAnsi" w:cstheme="minorHAnsi"/>
        </w:rPr>
        <w:t>e</w:t>
      </w:r>
      <w:r w:rsidR="00A73089" w:rsidRPr="00D97DD2">
        <w:rPr>
          <w:rFonts w:asciiTheme="minorHAnsi" w:hAnsiTheme="minorHAnsi" w:cstheme="minorHAnsi"/>
        </w:rPr>
        <w:t xml:space="preserve"> mercado</w:t>
      </w:r>
      <w:r w:rsidR="00A73089">
        <w:rPr>
          <w:rFonts w:asciiTheme="minorHAnsi" w:hAnsiTheme="minorHAnsi" w:cstheme="minorHAnsi"/>
        </w:rPr>
        <w:t>,</w:t>
      </w:r>
      <w:r w:rsidR="00D97DD2" w:rsidRPr="00D97DD2">
        <w:rPr>
          <w:rFonts w:asciiTheme="minorHAnsi" w:hAnsiTheme="minorHAnsi" w:cstheme="minorHAnsi"/>
        </w:rPr>
        <w:t xml:space="preserve"> para </w:t>
      </w:r>
      <w:r w:rsidR="007D1C53">
        <w:rPr>
          <w:rFonts w:asciiTheme="minorHAnsi" w:hAnsiTheme="minorHAnsi" w:cstheme="minorHAnsi"/>
        </w:rPr>
        <w:t xml:space="preserve">os </w:t>
      </w:r>
      <w:r w:rsidR="00D97DD2" w:rsidRPr="00D97DD2">
        <w:rPr>
          <w:rFonts w:asciiTheme="minorHAnsi" w:hAnsiTheme="minorHAnsi" w:cstheme="minorHAnsi"/>
        </w:rPr>
        <w:t xml:space="preserve">compradores e vendedores </w:t>
      </w:r>
      <w:r w:rsidR="000E2867">
        <w:rPr>
          <w:rFonts w:asciiTheme="minorHAnsi" w:hAnsiTheme="minorHAnsi" w:cstheme="minorHAnsi"/>
        </w:rPr>
        <w:t xml:space="preserve">com </w:t>
      </w:r>
      <w:r w:rsidR="00A73089">
        <w:rPr>
          <w:rFonts w:asciiTheme="minorHAnsi" w:hAnsiTheme="minorHAnsi" w:cstheme="minorHAnsi"/>
        </w:rPr>
        <w:t xml:space="preserve">um </w:t>
      </w:r>
      <w:r w:rsidR="00D97DD2" w:rsidRPr="00D97DD2">
        <w:rPr>
          <w:rFonts w:asciiTheme="minorHAnsi" w:hAnsiTheme="minorHAnsi" w:cstheme="minorHAnsi"/>
        </w:rPr>
        <w:t xml:space="preserve">património líquido </w:t>
      </w:r>
      <w:r w:rsidR="000E2867">
        <w:rPr>
          <w:rFonts w:asciiTheme="minorHAnsi" w:hAnsiTheme="minorHAnsi" w:cstheme="minorHAnsi"/>
        </w:rPr>
        <w:t>elevado</w:t>
      </w:r>
      <w:r w:rsidR="00D97DD2" w:rsidRPr="00D97DD2">
        <w:rPr>
          <w:rFonts w:asciiTheme="minorHAnsi" w:hAnsiTheme="minorHAnsi" w:cstheme="minorHAnsi"/>
        </w:rPr>
        <w:t xml:space="preserve">. As conclusões revelam que, embora as incertezas económicas e a volatilidade dos mercados bolsistas possam criar oportunidades estratégicas para </w:t>
      </w:r>
      <w:r w:rsidR="00AF62CD">
        <w:rPr>
          <w:rFonts w:asciiTheme="minorHAnsi" w:hAnsiTheme="minorHAnsi" w:cstheme="minorHAnsi"/>
        </w:rPr>
        <w:t xml:space="preserve">os </w:t>
      </w:r>
      <w:r w:rsidR="00D97DD2" w:rsidRPr="00D97DD2">
        <w:rPr>
          <w:rFonts w:asciiTheme="minorHAnsi" w:hAnsiTheme="minorHAnsi" w:cstheme="minorHAnsi"/>
        </w:rPr>
        <w:t xml:space="preserve">investidores </w:t>
      </w:r>
      <w:r w:rsidR="006902D6">
        <w:rPr>
          <w:rFonts w:asciiTheme="minorHAnsi" w:hAnsiTheme="minorHAnsi" w:cstheme="minorHAnsi"/>
        </w:rPr>
        <w:t xml:space="preserve">mais </w:t>
      </w:r>
      <w:r w:rsidR="00D97DD2" w:rsidRPr="00D97DD2">
        <w:rPr>
          <w:rFonts w:asciiTheme="minorHAnsi" w:hAnsiTheme="minorHAnsi" w:cstheme="minorHAnsi"/>
        </w:rPr>
        <w:t xml:space="preserve">sofisticados, são os agregados familiares </w:t>
      </w:r>
      <w:r w:rsidR="0079345B">
        <w:rPr>
          <w:rFonts w:asciiTheme="minorHAnsi" w:hAnsiTheme="minorHAnsi" w:cstheme="minorHAnsi"/>
        </w:rPr>
        <w:t xml:space="preserve">com elevado poder de </w:t>
      </w:r>
      <w:r w:rsidR="0079345B" w:rsidRPr="00D06EB7">
        <w:rPr>
          <w:rFonts w:asciiTheme="minorHAnsi" w:hAnsiTheme="minorHAnsi" w:cstheme="minorHAnsi"/>
        </w:rPr>
        <w:t>compra</w:t>
      </w:r>
      <w:r w:rsidR="0079345B">
        <w:rPr>
          <w:rFonts w:asciiTheme="minorHAnsi" w:hAnsiTheme="minorHAnsi" w:cstheme="minorHAnsi"/>
        </w:rPr>
        <w:t xml:space="preserve"> e provenientes dos</w:t>
      </w:r>
      <w:r w:rsidR="00D97DD2" w:rsidRPr="00D97DD2">
        <w:rPr>
          <w:rFonts w:asciiTheme="minorHAnsi" w:hAnsiTheme="minorHAnsi" w:cstheme="minorHAnsi"/>
        </w:rPr>
        <w:t xml:space="preserve"> </w:t>
      </w:r>
      <w:r w:rsidR="0079345B">
        <w:rPr>
          <w:rFonts w:asciiTheme="minorHAnsi" w:hAnsiTheme="minorHAnsi" w:cstheme="minorHAnsi"/>
        </w:rPr>
        <w:t xml:space="preserve">Estados </w:t>
      </w:r>
      <w:r w:rsidR="006902D6">
        <w:rPr>
          <w:rFonts w:asciiTheme="minorHAnsi" w:hAnsiTheme="minorHAnsi" w:cstheme="minorHAnsi"/>
        </w:rPr>
        <w:t>U</w:t>
      </w:r>
      <w:r w:rsidR="0079345B">
        <w:rPr>
          <w:rFonts w:asciiTheme="minorHAnsi" w:hAnsiTheme="minorHAnsi" w:cstheme="minorHAnsi"/>
        </w:rPr>
        <w:t xml:space="preserve">nidos </w:t>
      </w:r>
      <w:r w:rsidR="00D97DD2" w:rsidRPr="00D97DD2">
        <w:rPr>
          <w:rFonts w:asciiTheme="minorHAnsi" w:hAnsiTheme="minorHAnsi" w:cstheme="minorHAnsi"/>
        </w:rPr>
        <w:t>que continuam a registar os maiores ganhos no setor imobiliário¹. Para além da análise das dinâmicas de mercado, o relatório fornece</w:t>
      </w:r>
      <w:r w:rsidR="00E042BE">
        <w:rPr>
          <w:rFonts w:asciiTheme="minorHAnsi" w:hAnsiTheme="minorHAnsi" w:cstheme="minorHAnsi"/>
        </w:rPr>
        <w:t>,</w:t>
      </w:r>
      <w:r w:rsidR="00D97DD2" w:rsidRPr="00D97DD2">
        <w:rPr>
          <w:rFonts w:asciiTheme="minorHAnsi" w:hAnsiTheme="minorHAnsi" w:cstheme="minorHAnsi"/>
        </w:rPr>
        <w:t xml:space="preserve"> ainda</w:t>
      </w:r>
      <w:r w:rsidR="00E042BE">
        <w:rPr>
          <w:rFonts w:asciiTheme="minorHAnsi" w:hAnsiTheme="minorHAnsi" w:cstheme="minorHAnsi"/>
        </w:rPr>
        <w:t>,</w:t>
      </w:r>
      <w:r w:rsidR="00D97DD2" w:rsidRPr="00D97DD2">
        <w:rPr>
          <w:rFonts w:asciiTheme="minorHAnsi" w:hAnsiTheme="minorHAnsi" w:cstheme="minorHAnsi"/>
        </w:rPr>
        <w:t xml:space="preserve"> informação </w:t>
      </w:r>
      <w:r w:rsidR="00E042BE">
        <w:rPr>
          <w:rFonts w:asciiTheme="minorHAnsi" w:hAnsiTheme="minorHAnsi" w:cstheme="minorHAnsi"/>
        </w:rPr>
        <w:t xml:space="preserve">relevante </w:t>
      </w:r>
      <w:r w:rsidR="00D97DD2" w:rsidRPr="00D97DD2">
        <w:rPr>
          <w:rFonts w:asciiTheme="minorHAnsi" w:hAnsiTheme="minorHAnsi" w:cstheme="minorHAnsi"/>
        </w:rPr>
        <w:t xml:space="preserve">sobre estratégias de financiamento, o impacto </w:t>
      </w:r>
      <w:r w:rsidR="00E042BE">
        <w:rPr>
          <w:rFonts w:asciiTheme="minorHAnsi" w:hAnsiTheme="minorHAnsi" w:cstheme="minorHAnsi"/>
        </w:rPr>
        <w:t xml:space="preserve">dos </w:t>
      </w:r>
      <w:r w:rsidR="00D97DD2" w:rsidRPr="00D97DD2">
        <w:rPr>
          <w:rFonts w:asciiTheme="minorHAnsi" w:hAnsiTheme="minorHAnsi" w:cstheme="minorHAnsi"/>
        </w:rPr>
        <w:t xml:space="preserve">desastres naturais na valorização </w:t>
      </w:r>
      <w:r w:rsidR="00E042BE">
        <w:rPr>
          <w:rFonts w:asciiTheme="minorHAnsi" w:hAnsiTheme="minorHAnsi" w:cstheme="minorHAnsi"/>
        </w:rPr>
        <w:t>dos imóveis</w:t>
      </w:r>
      <w:r w:rsidR="00D97DD2" w:rsidRPr="00D97DD2">
        <w:rPr>
          <w:rFonts w:asciiTheme="minorHAnsi" w:hAnsiTheme="minorHAnsi" w:cstheme="minorHAnsi"/>
        </w:rPr>
        <w:t xml:space="preserve"> e identifica cinco mercados de luxo emergentes e em reemergência</w:t>
      </w:r>
      <w:r w:rsidR="00712D0D">
        <w:rPr>
          <w:rFonts w:asciiTheme="minorHAnsi" w:hAnsiTheme="minorHAnsi" w:cstheme="minorHAnsi"/>
        </w:rPr>
        <w:t xml:space="preserve">, </w:t>
      </w:r>
      <w:r w:rsidR="00D97DD2" w:rsidRPr="00D97DD2">
        <w:rPr>
          <w:rFonts w:asciiTheme="minorHAnsi" w:hAnsiTheme="minorHAnsi" w:cstheme="minorHAnsi"/>
        </w:rPr>
        <w:t xml:space="preserve">dados </w:t>
      </w:r>
      <w:r w:rsidR="00712D0D">
        <w:rPr>
          <w:rFonts w:asciiTheme="minorHAnsi" w:hAnsiTheme="minorHAnsi" w:cstheme="minorHAnsi"/>
        </w:rPr>
        <w:t xml:space="preserve">que se revelam </w:t>
      </w:r>
      <w:r w:rsidR="00D97DD2" w:rsidRPr="00D97DD2">
        <w:rPr>
          <w:rFonts w:asciiTheme="minorHAnsi" w:hAnsiTheme="minorHAnsi" w:cstheme="minorHAnsi"/>
        </w:rPr>
        <w:t xml:space="preserve">essenciais para </w:t>
      </w:r>
      <w:r w:rsidR="007E1184">
        <w:rPr>
          <w:rFonts w:asciiTheme="minorHAnsi" w:hAnsiTheme="minorHAnsi" w:cstheme="minorHAnsi"/>
        </w:rPr>
        <w:t>a tomada de</w:t>
      </w:r>
      <w:r w:rsidR="00D97DD2" w:rsidRPr="00D97DD2">
        <w:rPr>
          <w:rFonts w:asciiTheme="minorHAnsi" w:hAnsiTheme="minorHAnsi" w:cstheme="minorHAnsi"/>
        </w:rPr>
        <w:t xml:space="preserve"> decisões determinantes</w:t>
      </w:r>
      <w:r w:rsidR="007E1184">
        <w:rPr>
          <w:rFonts w:asciiTheme="minorHAnsi" w:hAnsiTheme="minorHAnsi" w:cstheme="minorHAnsi"/>
        </w:rPr>
        <w:t xml:space="preserve"> no setor </w:t>
      </w:r>
      <w:r w:rsidR="001D2B2C">
        <w:rPr>
          <w:rFonts w:asciiTheme="minorHAnsi" w:hAnsiTheme="minorHAnsi" w:cstheme="minorHAnsi"/>
        </w:rPr>
        <w:t>imobiliário</w:t>
      </w:r>
      <w:r w:rsidR="003A60F9">
        <w:rPr>
          <w:rFonts w:asciiTheme="minorHAnsi" w:hAnsiTheme="minorHAnsi" w:cstheme="minorHAnsi"/>
        </w:rPr>
        <w:t xml:space="preserve"> de luxo face ao</w:t>
      </w:r>
      <w:r w:rsidR="00D97DD2" w:rsidRPr="00D97DD2">
        <w:rPr>
          <w:rFonts w:asciiTheme="minorHAnsi" w:hAnsiTheme="minorHAnsi" w:cstheme="minorHAnsi"/>
        </w:rPr>
        <w:t xml:space="preserve"> atual contexto económico.</w:t>
      </w:r>
    </w:p>
    <w:p w14:paraId="0F98EF99" w14:textId="77777777" w:rsidR="00752B74" w:rsidRDefault="00752B74" w:rsidP="00B35C5E">
      <w:pPr>
        <w:spacing w:line="240" w:lineRule="auto"/>
        <w:jc w:val="both"/>
        <w:rPr>
          <w:rFonts w:asciiTheme="minorHAnsi" w:hAnsiTheme="minorHAnsi" w:cstheme="minorHAnsi"/>
        </w:rPr>
      </w:pPr>
    </w:p>
    <w:p w14:paraId="29FB6FD5" w14:textId="1D8FD220" w:rsidR="001061E9" w:rsidRDefault="001061E9" w:rsidP="00B35C5E">
      <w:pPr>
        <w:spacing w:line="240" w:lineRule="auto"/>
        <w:jc w:val="both"/>
        <w:rPr>
          <w:rFonts w:asciiTheme="minorHAnsi" w:hAnsiTheme="minorHAnsi" w:cstheme="minorHAnsi"/>
        </w:rPr>
      </w:pPr>
      <w:r w:rsidRPr="00B35C5E">
        <w:rPr>
          <w:rFonts w:asciiTheme="minorHAnsi" w:hAnsiTheme="minorHAnsi" w:cstheme="minorHAnsi"/>
        </w:rPr>
        <w:t>O mercado imobiliário de luxo</w:t>
      </w:r>
      <w:r w:rsidR="003A60F9">
        <w:rPr>
          <w:rFonts w:asciiTheme="minorHAnsi" w:hAnsiTheme="minorHAnsi" w:cstheme="minorHAnsi"/>
        </w:rPr>
        <w:t>,</w:t>
      </w:r>
      <w:r w:rsidRPr="00B35C5E">
        <w:rPr>
          <w:rFonts w:asciiTheme="minorHAnsi" w:hAnsiTheme="minorHAnsi" w:cstheme="minorHAnsi"/>
        </w:rPr>
        <w:t xml:space="preserve"> em Portugal</w:t>
      </w:r>
      <w:r w:rsidR="003A60F9">
        <w:rPr>
          <w:rFonts w:asciiTheme="minorHAnsi" w:hAnsiTheme="minorHAnsi" w:cstheme="minorHAnsi"/>
        </w:rPr>
        <w:t>,</w:t>
      </w:r>
      <w:r w:rsidRPr="00B35C5E">
        <w:rPr>
          <w:rFonts w:asciiTheme="minorHAnsi" w:hAnsiTheme="minorHAnsi" w:cstheme="minorHAnsi"/>
        </w:rPr>
        <w:t xml:space="preserve"> continua a mostrar um desempenho robusto, refletindo tanto a procura nacional como internacional.</w:t>
      </w:r>
      <w:r w:rsidR="00354120">
        <w:rPr>
          <w:rFonts w:asciiTheme="minorHAnsi" w:hAnsiTheme="minorHAnsi" w:cstheme="minorHAnsi"/>
        </w:rPr>
        <w:t xml:space="preserve"> </w:t>
      </w:r>
      <w:r w:rsidR="00354120" w:rsidRPr="00354120">
        <w:rPr>
          <w:rFonts w:asciiTheme="minorHAnsi" w:hAnsiTheme="minorHAnsi" w:cstheme="minorHAnsi"/>
        </w:rPr>
        <w:t xml:space="preserve">Entre janeiro e maio de 2025, a </w:t>
      </w:r>
      <w:r w:rsidR="00354120">
        <w:rPr>
          <w:rFonts w:asciiTheme="minorHAnsi" w:hAnsiTheme="minorHAnsi" w:cstheme="minorHAnsi"/>
        </w:rPr>
        <w:t xml:space="preserve">Portugal </w:t>
      </w:r>
      <w:r w:rsidR="00354120" w:rsidRPr="00354120">
        <w:rPr>
          <w:rFonts w:asciiTheme="minorHAnsi" w:hAnsiTheme="minorHAnsi" w:cstheme="minorHAnsi"/>
        </w:rPr>
        <w:t>Sotheby’s International Realty registou um crescimento expressivo na</w:t>
      </w:r>
      <w:r w:rsidR="000A3C29">
        <w:rPr>
          <w:rFonts w:asciiTheme="minorHAnsi" w:hAnsiTheme="minorHAnsi" w:cstheme="minorHAnsi"/>
        </w:rPr>
        <w:t xml:space="preserve"> sua</w:t>
      </w:r>
      <w:r w:rsidR="00354120" w:rsidRPr="00354120">
        <w:rPr>
          <w:rFonts w:asciiTheme="minorHAnsi" w:hAnsiTheme="minorHAnsi" w:cstheme="minorHAnsi"/>
        </w:rPr>
        <w:t xml:space="preserve"> atividade, com um aumento de 34% no número de transações realizadas</w:t>
      </w:r>
      <w:r w:rsidR="000A3C29">
        <w:rPr>
          <w:rFonts w:asciiTheme="minorHAnsi" w:hAnsiTheme="minorHAnsi" w:cstheme="minorHAnsi"/>
        </w:rPr>
        <w:t>,</w:t>
      </w:r>
      <w:r w:rsidR="00354120" w:rsidRPr="00354120">
        <w:rPr>
          <w:rFonts w:asciiTheme="minorHAnsi" w:hAnsiTheme="minorHAnsi" w:cstheme="minorHAnsi"/>
        </w:rPr>
        <w:t xml:space="preserve"> face ao mesmo período de 2024</w:t>
      </w:r>
      <w:r w:rsidR="000A3C29">
        <w:rPr>
          <w:rFonts w:asciiTheme="minorHAnsi" w:hAnsiTheme="minorHAnsi" w:cstheme="minorHAnsi"/>
        </w:rPr>
        <w:t>,</w:t>
      </w:r>
      <w:r w:rsidR="00354120" w:rsidRPr="00354120">
        <w:rPr>
          <w:rFonts w:asciiTheme="minorHAnsi" w:hAnsiTheme="minorHAnsi" w:cstheme="minorHAnsi"/>
        </w:rPr>
        <w:t xml:space="preserve"> e uma subida de 40% na faturação. No que diz respeito às nacionalidades dos compradores e investidores, </w:t>
      </w:r>
      <w:r w:rsidR="000A3C29">
        <w:rPr>
          <w:rFonts w:asciiTheme="minorHAnsi" w:hAnsiTheme="minorHAnsi" w:cstheme="minorHAnsi"/>
        </w:rPr>
        <w:t>os</w:t>
      </w:r>
      <w:r w:rsidR="00354120" w:rsidRPr="00354120">
        <w:rPr>
          <w:rFonts w:asciiTheme="minorHAnsi" w:hAnsiTheme="minorHAnsi" w:cstheme="minorHAnsi"/>
        </w:rPr>
        <w:t xml:space="preserve"> portugueses representaram 50% das transações, seguindo-se os </w:t>
      </w:r>
      <w:r w:rsidR="008F4EFA">
        <w:rPr>
          <w:rFonts w:asciiTheme="minorHAnsi" w:hAnsiTheme="minorHAnsi" w:cstheme="minorHAnsi"/>
        </w:rPr>
        <w:t xml:space="preserve">compradores e investidores </w:t>
      </w:r>
      <w:r w:rsidR="00354120" w:rsidRPr="00354120">
        <w:rPr>
          <w:rFonts w:asciiTheme="minorHAnsi" w:hAnsiTheme="minorHAnsi" w:cstheme="minorHAnsi"/>
        </w:rPr>
        <w:t>provenientes do Reino Unido (11%), dos Estados Unidos (9%) e do Brasil (6%), refletindo</w:t>
      </w:r>
      <w:r w:rsidR="00B241AF">
        <w:rPr>
          <w:rFonts w:asciiTheme="minorHAnsi" w:hAnsiTheme="minorHAnsi" w:cstheme="minorHAnsi"/>
        </w:rPr>
        <w:t>,</w:t>
      </w:r>
      <w:r w:rsidR="008F4EFA">
        <w:rPr>
          <w:rFonts w:asciiTheme="minorHAnsi" w:hAnsiTheme="minorHAnsi" w:cstheme="minorHAnsi"/>
        </w:rPr>
        <w:t xml:space="preserve"> assim</w:t>
      </w:r>
      <w:r w:rsidR="00B241AF">
        <w:rPr>
          <w:rFonts w:asciiTheme="minorHAnsi" w:hAnsiTheme="minorHAnsi" w:cstheme="minorHAnsi"/>
        </w:rPr>
        <w:t>,</w:t>
      </w:r>
      <w:r w:rsidR="00354120" w:rsidRPr="00354120">
        <w:rPr>
          <w:rFonts w:asciiTheme="minorHAnsi" w:hAnsiTheme="minorHAnsi" w:cstheme="minorHAnsi"/>
        </w:rPr>
        <w:t xml:space="preserve"> o posicionamento consolidado de Portugal como destino atrativo tanto para residentes como para investidores internacionais no segmento</w:t>
      </w:r>
      <w:r w:rsidR="00CE6330">
        <w:rPr>
          <w:rFonts w:asciiTheme="minorHAnsi" w:hAnsiTheme="minorHAnsi" w:cstheme="minorHAnsi"/>
        </w:rPr>
        <w:t xml:space="preserve"> do imobiliário</w:t>
      </w:r>
      <w:r w:rsidR="00354120" w:rsidRPr="00354120">
        <w:rPr>
          <w:rFonts w:asciiTheme="minorHAnsi" w:hAnsiTheme="minorHAnsi" w:cstheme="minorHAnsi"/>
        </w:rPr>
        <w:t xml:space="preserve"> de luxo.</w:t>
      </w:r>
    </w:p>
    <w:p w14:paraId="76380E2D" w14:textId="77777777" w:rsidR="00C865E9" w:rsidRDefault="00C865E9" w:rsidP="00B35C5E">
      <w:pPr>
        <w:spacing w:line="240" w:lineRule="auto"/>
        <w:jc w:val="both"/>
        <w:rPr>
          <w:rFonts w:asciiTheme="minorHAnsi" w:hAnsiTheme="minorHAnsi" w:cstheme="minorHAnsi"/>
        </w:rPr>
      </w:pPr>
    </w:p>
    <w:p w14:paraId="01ADA715" w14:textId="2CB317C3" w:rsidR="00C865E9" w:rsidRDefault="00C865E9" w:rsidP="00B35C5E">
      <w:pPr>
        <w:spacing w:line="240" w:lineRule="auto"/>
        <w:jc w:val="both"/>
        <w:rPr>
          <w:rFonts w:asciiTheme="minorHAnsi" w:hAnsiTheme="minorHAnsi" w:cstheme="minorHAnsi"/>
        </w:rPr>
      </w:pPr>
      <w:r w:rsidRPr="00C865E9">
        <w:rPr>
          <w:rFonts w:asciiTheme="minorHAnsi" w:hAnsiTheme="minorHAnsi" w:cstheme="minorHAnsi"/>
        </w:rPr>
        <w:t xml:space="preserve">Este desempenho positivo foi transversal às principais regiões do país, com destaque para Lisboa, Cascais, Estoril, Oeiras, Porto, Algarve e Madeira </w:t>
      </w:r>
      <w:r>
        <w:rPr>
          <w:rFonts w:asciiTheme="minorHAnsi" w:hAnsiTheme="minorHAnsi" w:cstheme="minorHAnsi"/>
        </w:rPr>
        <w:t xml:space="preserve">– </w:t>
      </w:r>
      <w:r w:rsidRPr="00C865E9">
        <w:rPr>
          <w:rFonts w:asciiTheme="minorHAnsi" w:hAnsiTheme="minorHAnsi" w:cstheme="minorHAnsi"/>
        </w:rPr>
        <w:t>zonas que continuam a captar o interesse de compradores</w:t>
      </w:r>
      <w:r w:rsidR="002D44D7">
        <w:rPr>
          <w:rFonts w:asciiTheme="minorHAnsi" w:hAnsiTheme="minorHAnsi" w:cstheme="minorHAnsi"/>
        </w:rPr>
        <w:t xml:space="preserve"> e investidores,</w:t>
      </w:r>
      <w:r w:rsidRPr="00C865E9">
        <w:rPr>
          <w:rFonts w:asciiTheme="minorHAnsi" w:hAnsiTheme="minorHAnsi" w:cstheme="minorHAnsi"/>
        </w:rPr>
        <w:t xml:space="preserve"> nacionais e </w:t>
      </w:r>
      <w:r w:rsidR="00463876" w:rsidRPr="00C865E9">
        <w:rPr>
          <w:rFonts w:asciiTheme="minorHAnsi" w:hAnsiTheme="minorHAnsi" w:cstheme="minorHAnsi"/>
        </w:rPr>
        <w:t>internacionai</w:t>
      </w:r>
      <w:r w:rsidR="00463876">
        <w:rPr>
          <w:rFonts w:asciiTheme="minorHAnsi" w:hAnsiTheme="minorHAnsi" w:cstheme="minorHAnsi"/>
        </w:rPr>
        <w:t>s</w:t>
      </w:r>
      <w:r w:rsidRPr="00C865E9">
        <w:rPr>
          <w:rFonts w:asciiTheme="minorHAnsi" w:hAnsiTheme="minorHAnsi" w:cstheme="minorHAnsi"/>
        </w:rPr>
        <w:t xml:space="preserve"> pela sua localização privilegiada, qualidade de vida</w:t>
      </w:r>
      <w:r w:rsidR="00EC1E7A">
        <w:rPr>
          <w:rFonts w:asciiTheme="minorHAnsi" w:hAnsiTheme="minorHAnsi" w:cstheme="minorHAnsi"/>
        </w:rPr>
        <w:t>, pela sua proximidade ao mar</w:t>
      </w:r>
      <w:r w:rsidRPr="00C865E9">
        <w:rPr>
          <w:rFonts w:asciiTheme="minorHAnsi" w:hAnsiTheme="minorHAnsi" w:cstheme="minorHAnsi"/>
        </w:rPr>
        <w:t xml:space="preserve"> e valorização consistente dos ativos. No Porto, a procura é impulsionada por franceses, norte-americanos e brasileiros, muitos dos quais iniciam o seu percurso com imóveis T1 e T2 de luxo no centro histórico, evoluindo mais tarde para moradias ou apartamentos de maior dimensão e valor. Já no Algarve, a abertura de uma nova rota aérea direta com os </w:t>
      </w:r>
      <w:r w:rsidR="00766EA3">
        <w:rPr>
          <w:rFonts w:asciiTheme="minorHAnsi" w:hAnsiTheme="minorHAnsi" w:cstheme="minorHAnsi"/>
        </w:rPr>
        <w:t>Estados Unidos</w:t>
      </w:r>
      <w:r w:rsidRPr="00C865E9">
        <w:rPr>
          <w:rFonts w:asciiTheme="minorHAnsi" w:hAnsiTheme="minorHAnsi" w:cstheme="minorHAnsi"/>
        </w:rPr>
        <w:t xml:space="preserve"> está a alimentar o interesse crescente por parte do mercado norte-americano, ao passo que a Madeira se destaca pelo aumento da procura por parte de famílias e cidadãos </w:t>
      </w:r>
      <w:r w:rsidR="00766EA3">
        <w:rPr>
          <w:rFonts w:asciiTheme="minorHAnsi" w:hAnsiTheme="minorHAnsi" w:cstheme="minorHAnsi"/>
        </w:rPr>
        <w:t>provenientes dos Estados Unidos</w:t>
      </w:r>
      <w:r w:rsidRPr="00C865E9">
        <w:rPr>
          <w:rFonts w:asciiTheme="minorHAnsi" w:hAnsiTheme="minorHAnsi" w:cstheme="minorHAnsi"/>
        </w:rPr>
        <w:t xml:space="preserve"> e do norte da Europa, </w:t>
      </w:r>
      <w:r w:rsidRPr="00C865E9">
        <w:rPr>
          <w:rFonts w:asciiTheme="minorHAnsi" w:hAnsiTheme="minorHAnsi" w:cstheme="minorHAnsi"/>
        </w:rPr>
        <w:lastRenderedPageBreak/>
        <w:t xml:space="preserve">que valorizam </w:t>
      </w:r>
      <w:r w:rsidR="00B1512F">
        <w:rPr>
          <w:rFonts w:asciiTheme="minorHAnsi" w:hAnsiTheme="minorHAnsi" w:cstheme="minorHAnsi"/>
        </w:rPr>
        <w:t xml:space="preserve">a </w:t>
      </w:r>
      <w:r w:rsidRPr="00C865E9">
        <w:rPr>
          <w:rFonts w:asciiTheme="minorHAnsi" w:hAnsiTheme="minorHAnsi" w:cstheme="minorHAnsi"/>
        </w:rPr>
        <w:t xml:space="preserve">segurança, </w:t>
      </w:r>
      <w:r w:rsidR="00B1512F">
        <w:rPr>
          <w:rFonts w:asciiTheme="minorHAnsi" w:hAnsiTheme="minorHAnsi" w:cstheme="minorHAnsi"/>
        </w:rPr>
        <w:t xml:space="preserve">o </w:t>
      </w:r>
      <w:r w:rsidRPr="00C865E9">
        <w:rPr>
          <w:rFonts w:asciiTheme="minorHAnsi" w:hAnsiTheme="minorHAnsi" w:cstheme="minorHAnsi"/>
        </w:rPr>
        <w:t>clima ameno e</w:t>
      </w:r>
      <w:r w:rsidR="00B1512F">
        <w:rPr>
          <w:rFonts w:asciiTheme="minorHAnsi" w:hAnsiTheme="minorHAnsi" w:cstheme="minorHAnsi"/>
        </w:rPr>
        <w:t xml:space="preserve"> os</w:t>
      </w:r>
      <w:r w:rsidRPr="00C865E9">
        <w:rPr>
          <w:rFonts w:asciiTheme="minorHAnsi" w:hAnsiTheme="minorHAnsi" w:cstheme="minorHAnsi"/>
        </w:rPr>
        <w:t xml:space="preserve"> elevados padrões de construção. Em Lisboa e na Grande Lisboa, a procura nacional e estrangeira mantém-se equilibrada, com forte preferência por imóveis com espaços exteriores e localização central </w:t>
      </w:r>
      <w:r w:rsidR="00B1512F">
        <w:rPr>
          <w:rFonts w:asciiTheme="minorHAnsi" w:hAnsiTheme="minorHAnsi" w:cstheme="minorHAnsi"/>
        </w:rPr>
        <w:t>(</w:t>
      </w:r>
      <w:r w:rsidRPr="00C865E9">
        <w:rPr>
          <w:rFonts w:asciiTheme="minorHAnsi" w:hAnsiTheme="minorHAnsi" w:cstheme="minorHAnsi"/>
        </w:rPr>
        <w:t>ou em zonas emergentes</w:t>
      </w:r>
      <w:r w:rsidR="00B1512F">
        <w:rPr>
          <w:rFonts w:asciiTheme="minorHAnsi" w:hAnsiTheme="minorHAnsi" w:cstheme="minorHAnsi"/>
        </w:rPr>
        <w:t>,</w:t>
      </w:r>
      <w:r w:rsidRPr="00C865E9">
        <w:rPr>
          <w:rFonts w:asciiTheme="minorHAnsi" w:hAnsiTheme="minorHAnsi" w:cstheme="minorHAnsi"/>
        </w:rPr>
        <w:t xml:space="preserve"> como Marvila</w:t>
      </w:r>
      <w:r w:rsidR="00B1512F">
        <w:rPr>
          <w:rFonts w:asciiTheme="minorHAnsi" w:hAnsiTheme="minorHAnsi" w:cstheme="minorHAnsi"/>
        </w:rPr>
        <w:t>)</w:t>
      </w:r>
      <w:r w:rsidRPr="00C865E9">
        <w:rPr>
          <w:rFonts w:asciiTheme="minorHAnsi" w:hAnsiTheme="minorHAnsi" w:cstheme="minorHAnsi"/>
        </w:rPr>
        <w:t>. Estas dinâmicas regionais confirmam que Portugal continua a afirmar-se como um destino de excelência no segmento de luxo, beneficiando de uma base sólida de confiança, qualidade construtiva e atratividade fiscal e cultural para investidores exigentes</w:t>
      </w:r>
      <w:r>
        <w:rPr>
          <w:rFonts w:asciiTheme="minorHAnsi" w:hAnsiTheme="minorHAnsi" w:cstheme="minorHAnsi"/>
        </w:rPr>
        <w:t>.</w:t>
      </w:r>
    </w:p>
    <w:p w14:paraId="1574650D" w14:textId="77777777" w:rsidR="00262EE9" w:rsidRDefault="00262EE9" w:rsidP="00B35C5E">
      <w:pPr>
        <w:spacing w:line="240" w:lineRule="auto"/>
        <w:jc w:val="both"/>
        <w:rPr>
          <w:rFonts w:asciiTheme="minorHAnsi" w:hAnsiTheme="minorHAnsi" w:cstheme="minorHAnsi"/>
        </w:rPr>
      </w:pPr>
    </w:p>
    <w:p w14:paraId="662BBB9C" w14:textId="50894331" w:rsidR="00CE6330" w:rsidRPr="00B35C5E" w:rsidRDefault="00AB546B" w:rsidP="00CE6330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“</w:t>
      </w:r>
      <w:r w:rsidRPr="00AB546B">
        <w:rPr>
          <w:rFonts w:asciiTheme="minorHAnsi" w:hAnsiTheme="minorHAnsi" w:cstheme="minorHAnsi"/>
          <w:i/>
          <w:iCs/>
        </w:rPr>
        <w:t xml:space="preserve">Os dados do primeiro semestre reforçam a atratividade e </w:t>
      </w:r>
      <w:r w:rsidR="00A63A05">
        <w:rPr>
          <w:rFonts w:asciiTheme="minorHAnsi" w:hAnsiTheme="minorHAnsi" w:cstheme="minorHAnsi"/>
          <w:i/>
          <w:iCs/>
        </w:rPr>
        <w:t xml:space="preserve">a </w:t>
      </w:r>
      <w:r w:rsidRPr="00AB546B">
        <w:rPr>
          <w:rFonts w:asciiTheme="minorHAnsi" w:hAnsiTheme="minorHAnsi" w:cstheme="minorHAnsi"/>
          <w:i/>
          <w:iCs/>
        </w:rPr>
        <w:t xml:space="preserve">resiliência do mercado imobiliário de luxo em Portugal. A confiança dos investidores internacionais, aliada à procura consistente por parte dos clientes nacionais, tem permitido não só aumentar o número de transações, como também elevar o valor médio dos imóveis transacionados. Estes resultados comprovam a maturidade do nosso mercado e consolidam a posição de Portugal como </w:t>
      </w:r>
      <w:r w:rsidR="00A63A05">
        <w:rPr>
          <w:rFonts w:asciiTheme="minorHAnsi" w:hAnsiTheme="minorHAnsi" w:cstheme="minorHAnsi"/>
          <w:i/>
          <w:iCs/>
        </w:rPr>
        <w:t xml:space="preserve">um </w:t>
      </w:r>
      <w:r w:rsidRPr="00AB546B">
        <w:rPr>
          <w:rFonts w:asciiTheme="minorHAnsi" w:hAnsiTheme="minorHAnsi" w:cstheme="minorHAnsi"/>
          <w:i/>
          <w:iCs/>
        </w:rPr>
        <w:t>destino de excelência no panorama imobiliário global</w:t>
      </w:r>
      <w:r w:rsidR="00CE6330" w:rsidRPr="00B35C5E">
        <w:rPr>
          <w:rFonts w:asciiTheme="minorHAnsi" w:hAnsiTheme="minorHAnsi" w:cstheme="minorHAnsi"/>
          <w:i/>
          <w:iCs/>
        </w:rPr>
        <w:t xml:space="preserve">”, </w:t>
      </w:r>
      <w:r w:rsidR="00CE6330" w:rsidRPr="00B35C5E">
        <w:rPr>
          <w:rFonts w:asciiTheme="minorHAnsi" w:hAnsiTheme="minorHAnsi" w:cstheme="minorHAnsi"/>
        </w:rPr>
        <w:t>refere Miguel Poisson</w:t>
      </w:r>
      <w:r w:rsidR="00CE6330" w:rsidRPr="00BF121E">
        <w:rPr>
          <w:rFonts w:asciiTheme="minorHAnsi" w:hAnsiTheme="minorHAnsi" w:cstheme="minorHAnsi"/>
        </w:rPr>
        <w:t xml:space="preserve">, CEO da </w:t>
      </w:r>
      <w:r w:rsidR="00CE6330">
        <w:rPr>
          <w:rFonts w:asciiTheme="minorHAnsi" w:hAnsiTheme="minorHAnsi" w:cstheme="minorHAnsi"/>
        </w:rPr>
        <w:t xml:space="preserve">Portugal </w:t>
      </w:r>
      <w:r w:rsidR="00CE6330" w:rsidRPr="00BF121E">
        <w:rPr>
          <w:rFonts w:asciiTheme="minorHAnsi" w:hAnsiTheme="minorHAnsi" w:cstheme="minorHAnsi"/>
        </w:rPr>
        <w:t xml:space="preserve">Sotheby’s </w:t>
      </w:r>
      <w:r w:rsidR="00CE6330" w:rsidRPr="004055C6">
        <w:rPr>
          <w:rFonts w:asciiTheme="minorHAnsi" w:hAnsiTheme="minorHAnsi" w:cstheme="minorHAnsi"/>
        </w:rPr>
        <w:t>International</w:t>
      </w:r>
      <w:r w:rsidR="00CE6330" w:rsidRPr="00BF121E">
        <w:rPr>
          <w:rFonts w:asciiTheme="minorHAnsi" w:hAnsiTheme="minorHAnsi" w:cstheme="minorHAnsi"/>
        </w:rPr>
        <w:t xml:space="preserve"> Realty.</w:t>
      </w:r>
    </w:p>
    <w:p w14:paraId="6BFCABB1" w14:textId="77777777" w:rsidR="00B93346" w:rsidRDefault="00B93346" w:rsidP="00B35C5E">
      <w:pPr>
        <w:spacing w:line="240" w:lineRule="auto"/>
        <w:jc w:val="both"/>
        <w:rPr>
          <w:rFonts w:asciiTheme="minorHAnsi" w:hAnsiTheme="minorHAnsi" w:cstheme="minorHAnsi"/>
        </w:rPr>
      </w:pPr>
    </w:p>
    <w:p w14:paraId="3AE506F2" w14:textId="0995C1C1" w:rsidR="00B93346" w:rsidRDefault="00B93346" w:rsidP="00B35C5E">
      <w:pPr>
        <w:spacing w:line="240" w:lineRule="auto"/>
        <w:jc w:val="both"/>
        <w:rPr>
          <w:rFonts w:asciiTheme="minorHAnsi" w:hAnsiTheme="minorHAnsi" w:cstheme="minorHAnsi"/>
        </w:rPr>
      </w:pPr>
      <w:r w:rsidRPr="00B93346">
        <w:rPr>
          <w:rFonts w:asciiTheme="minorHAnsi" w:hAnsiTheme="minorHAnsi" w:cstheme="minorHAnsi"/>
        </w:rPr>
        <w:t xml:space="preserve">O relatório </w:t>
      </w:r>
      <w:r w:rsidRPr="00B93346">
        <w:rPr>
          <w:rFonts w:asciiTheme="minorHAnsi" w:hAnsiTheme="minorHAnsi" w:cstheme="minorHAnsi"/>
          <w:b/>
          <w:bCs/>
        </w:rPr>
        <w:t>Mid-Year Luxury Outlook</w:t>
      </w:r>
      <w:r w:rsidR="006C2DD7">
        <w:rPr>
          <w:rFonts w:asciiTheme="minorHAnsi" w:hAnsiTheme="minorHAnsi" w:cstheme="minorHAnsi"/>
          <w:b/>
          <w:bCs/>
        </w:rPr>
        <w:t xml:space="preserve"> 2025</w:t>
      </w:r>
      <w:r w:rsidRPr="00B93346">
        <w:rPr>
          <w:rFonts w:asciiTheme="minorHAnsi" w:hAnsiTheme="minorHAnsi" w:cstheme="minorHAnsi"/>
        </w:rPr>
        <w:t xml:space="preserve"> baseia-</w:t>
      </w:r>
      <w:r w:rsidR="00134D43">
        <w:rPr>
          <w:rFonts w:asciiTheme="minorHAnsi" w:hAnsiTheme="minorHAnsi" w:cstheme="minorHAnsi"/>
        </w:rPr>
        <w:t>se</w:t>
      </w:r>
      <w:r w:rsidRPr="00B35C5E">
        <w:rPr>
          <w:rFonts w:asciiTheme="minorHAnsi" w:hAnsiTheme="minorHAnsi" w:cstheme="minorHAnsi"/>
        </w:rPr>
        <w:t xml:space="preserve"> </w:t>
      </w:r>
      <w:r w:rsidR="009E793C">
        <w:rPr>
          <w:rFonts w:asciiTheme="minorHAnsi" w:hAnsiTheme="minorHAnsi" w:cstheme="minorHAnsi"/>
        </w:rPr>
        <w:t xml:space="preserve">em </w:t>
      </w:r>
      <w:r w:rsidRPr="009E793C">
        <w:rPr>
          <w:rFonts w:asciiTheme="minorHAnsi" w:hAnsiTheme="minorHAnsi" w:cstheme="minorHAnsi"/>
          <w:i/>
          <w:iCs/>
        </w:rPr>
        <w:t>insights</w:t>
      </w:r>
      <w:r w:rsidRPr="00B35C5E">
        <w:rPr>
          <w:rFonts w:asciiTheme="minorHAnsi" w:hAnsiTheme="minorHAnsi" w:cstheme="minorHAnsi"/>
        </w:rPr>
        <w:t xml:space="preserve"> das delegações da </w:t>
      </w:r>
      <w:r w:rsidRPr="00B93346">
        <w:rPr>
          <w:rFonts w:asciiTheme="minorHAnsi" w:hAnsiTheme="minorHAnsi" w:cstheme="minorHAnsi"/>
        </w:rPr>
        <w:t>Sotheby’s International Realty em todo o mundo, especializad</w:t>
      </w:r>
      <w:r w:rsidR="009E793C">
        <w:rPr>
          <w:rFonts w:asciiTheme="minorHAnsi" w:hAnsiTheme="minorHAnsi" w:cstheme="minorHAnsi"/>
        </w:rPr>
        <w:t>a</w:t>
      </w:r>
      <w:r w:rsidRPr="00B93346">
        <w:rPr>
          <w:rFonts w:asciiTheme="minorHAnsi" w:hAnsiTheme="minorHAnsi" w:cstheme="minorHAnsi"/>
        </w:rPr>
        <w:t xml:space="preserve">s em transações </w:t>
      </w:r>
      <w:r w:rsidR="00134D43" w:rsidRPr="00B35C5E">
        <w:rPr>
          <w:rFonts w:asciiTheme="minorHAnsi" w:hAnsiTheme="minorHAnsi" w:cstheme="minorHAnsi"/>
        </w:rPr>
        <w:t>na categoria de preços superior a 10 milhões de dólares</w:t>
      </w:r>
      <w:r w:rsidRPr="00B93346">
        <w:rPr>
          <w:rFonts w:asciiTheme="minorHAnsi" w:hAnsiTheme="minorHAnsi" w:cstheme="minorHAnsi"/>
        </w:rPr>
        <w:t xml:space="preserve">. </w:t>
      </w:r>
      <w:r w:rsidR="00A15F46" w:rsidRPr="00B35C5E">
        <w:rPr>
          <w:rFonts w:asciiTheme="minorHAnsi" w:hAnsiTheme="minorHAnsi" w:cstheme="minorHAnsi"/>
        </w:rPr>
        <w:t xml:space="preserve">A sua experiência é complementada </w:t>
      </w:r>
      <w:r w:rsidR="009E793C">
        <w:rPr>
          <w:rFonts w:asciiTheme="minorHAnsi" w:hAnsiTheme="minorHAnsi" w:cstheme="minorHAnsi"/>
        </w:rPr>
        <w:t>com</w:t>
      </w:r>
      <w:r w:rsidR="00A15F46" w:rsidRPr="00B35C5E">
        <w:rPr>
          <w:rFonts w:asciiTheme="minorHAnsi" w:hAnsiTheme="minorHAnsi" w:cstheme="minorHAnsi"/>
        </w:rPr>
        <w:t xml:space="preserve"> dados de empresas líderes do setor</w:t>
      </w:r>
      <w:r w:rsidRPr="00B93346">
        <w:rPr>
          <w:rFonts w:asciiTheme="minorHAnsi" w:hAnsiTheme="minorHAnsi" w:cstheme="minorHAnsi"/>
        </w:rPr>
        <w:t xml:space="preserve"> como a UBS, </w:t>
      </w:r>
      <w:r w:rsidR="009E793C">
        <w:rPr>
          <w:rFonts w:asciiTheme="minorHAnsi" w:hAnsiTheme="minorHAnsi" w:cstheme="minorHAnsi"/>
        </w:rPr>
        <w:t xml:space="preserve">a </w:t>
      </w:r>
      <w:r w:rsidRPr="00B93346">
        <w:rPr>
          <w:rFonts w:asciiTheme="minorHAnsi" w:hAnsiTheme="minorHAnsi" w:cstheme="minorHAnsi"/>
        </w:rPr>
        <w:t xml:space="preserve">J.P. </w:t>
      </w:r>
      <w:r w:rsidR="009E793C">
        <w:rPr>
          <w:rFonts w:asciiTheme="minorHAnsi" w:hAnsiTheme="minorHAnsi" w:cstheme="minorHAnsi"/>
        </w:rPr>
        <w:t xml:space="preserve">a </w:t>
      </w:r>
      <w:r w:rsidRPr="00B93346">
        <w:rPr>
          <w:rFonts w:asciiTheme="minorHAnsi" w:hAnsiTheme="minorHAnsi" w:cstheme="minorHAnsi"/>
        </w:rPr>
        <w:t xml:space="preserve">Morgan, </w:t>
      </w:r>
      <w:r w:rsidR="009E793C">
        <w:rPr>
          <w:rFonts w:asciiTheme="minorHAnsi" w:hAnsiTheme="minorHAnsi" w:cstheme="minorHAnsi"/>
        </w:rPr>
        <w:t xml:space="preserve">a </w:t>
      </w:r>
      <w:r w:rsidRPr="00B93346">
        <w:rPr>
          <w:rFonts w:asciiTheme="minorHAnsi" w:hAnsiTheme="minorHAnsi" w:cstheme="minorHAnsi"/>
        </w:rPr>
        <w:t xml:space="preserve">Moody’s, </w:t>
      </w:r>
      <w:r w:rsidR="009E793C">
        <w:rPr>
          <w:rFonts w:asciiTheme="minorHAnsi" w:hAnsiTheme="minorHAnsi" w:cstheme="minorHAnsi"/>
        </w:rPr>
        <w:t xml:space="preserve">a </w:t>
      </w:r>
      <w:r w:rsidRPr="00B93346">
        <w:rPr>
          <w:rFonts w:asciiTheme="minorHAnsi" w:hAnsiTheme="minorHAnsi" w:cstheme="minorHAnsi"/>
        </w:rPr>
        <w:t xml:space="preserve">McKinsey &amp; Company, </w:t>
      </w:r>
      <w:r w:rsidR="009E793C">
        <w:rPr>
          <w:rFonts w:asciiTheme="minorHAnsi" w:hAnsiTheme="minorHAnsi" w:cstheme="minorHAnsi"/>
        </w:rPr>
        <w:t xml:space="preserve">a </w:t>
      </w:r>
      <w:r w:rsidRPr="00B93346">
        <w:rPr>
          <w:rFonts w:asciiTheme="minorHAnsi" w:hAnsiTheme="minorHAnsi" w:cstheme="minorHAnsi"/>
        </w:rPr>
        <w:t xml:space="preserve">Bain &amp; Company, </w:t>
      </w:r>
      <w:r w:rsidR="009E793C">
        <w:rPr>
          <w:rFonts w:asciiTheme="minorHAnsi" w:hAnsiTheme="minorHAnsi" w:cstheme="minorHAnsi"/>
        </w:rPr>
        <w:t xml:space="preserve">a </w:t>
      </w:r>
      <w:r w:rsidRPr="00B93346">
        <w:rPr>
          <w:rFonts w:asciiTheme="minorHAnsi" w:hAnsiTheme="minorHAnsi" w:cstheme="minorHAnsi"/>
        </w:rPr>
        <w:t>Cotality (anteriormente CoreLogic), a National Association of REALTORS® e a National Association of Home Builders®.</w:t>
      </w:r>
    </w:p>
    <w:p w14:paraId="3981372E" w14:textId="77777777" w:rsidR="00B93346" w:rsidRDefault="00B93346" w:rsidP="00B35C5E">
      <w:pPr>
        <w:spacing w:line="240" w:lineRule="auto"/>
        <w:jc w:val="both"/>
        <w:rPr>
          <w:rFonts w:asciiTheme="minorHAnsi" w:hAnsiTheme="minorHAnsi" w:cstheme="minorHAnsi"/>
        </w:rPr>
      </w:pPr>
    </w:p>
    <w:p w14:paraId="3A88F6E0" w14:textId="77777777" w:rsidR="00A25E11" w:rsidRDefault="00A25E11" w:rsidP="00A25E11">
      <w:pPr>
        <w:tabs>
          <w:tab w:val="num" w:pos="720"/>
        </w:tabs>
        <w:spacing w:line="240" w:lineRule="auto"/>
        <w:jc w:val="both"/>
        <w:rPr>
          <w:rFonts w:asciiTheme="minorHAnsi" w:hAnsiTheme="minorHAnsi" w:cstheme="minorHAnsi"/>
          <w:b/>
          <w:bCs/>
        </w:rPr>
      </w:pPr>
      <w:r w:rsidRPr="00BF121E">
        <w:rPr>
          <w:rFonts w:asciiTheme="minorHAnsi" w:hAnsiTheme="minorHAnsi" w:cstheme="minorHAnsi"/>
          <w:b/>
          <w:bCs/>
        </w:rPr>
        <w:t xml:space="preserve">Principais pontos </w:t>
      </w:r>
      <w:r w:rsidRPr="00B35C5E">
        <w:rPr>
          <w:rFonts w:asciiTheme="minorHAnsi" w:hAnsiTheme="minorHAnsi" w:cstheme="minorHAnsi"/>
          <w:b/>
          <w:bCs/>
        </w:rPr>
        <w:t>destacados no</w:t>
      </w:r>
      <w:r w:rsidRPr="00BF121E">
        <w:rPr>
          <w:rFonts w:asciiTheme="minorHAnsi" w:hAnsiTheme="minorHAnsi" w:cstheme="minorHAnsi"/>
          <w:b/>
          <w:bCs/>
        </w:rPr>
        <w:t xml:space="preserve"> relatório</w:t>
      </w:r>
      <w:r>
        <w:rPr>
          <w:rFonts w:asciiTheme="minorHAnsi" w:hAnsiTheme="minorHAnsi" w:cstheme="minorHAnsi"/>
          <w:b/>
          <w:bCs/>
        </w:rPr>
        <w:t>:</w:t>
      </w:r>
      <w:r w:rsidRPr="00BF121E">
        <w:rPr>
          <w:rFonts w:asciiTheme="minorHAnsi" w:hAnsiTheme="minorHAnsi" w:cstheme="minorHAnsi"/>
          <w:b/>
          <w:bCs/>
        </w:rPr>
        <w:t xml:space="preserve"> </w:t>
      </w:r>
    </w:p>
    <w:p w14:paraId="664F2873" w14:textId="77777777" w:rsidR="00752B74" w:rsidRDefault="00752B74" w:rsidP="00A25E11">
      <w:pPr>
        <w:tabs>
          <w:tab w:val="num" w:pos="720"/>
        </w:tabs>
        <w:spacing w:line="240" w:lineRule="auto"/>
        <w:jc w:val="both"/>
        <w:rPr>
          <w:rFonts w:asciiTheme="minorHAnsi" w:hAnsiTheme="minorHAnsi" w:cstheme="minorHAnsi"/>
          <w:b/>
          <w:bCs/>
        </w:rPr>
      </w:pPr>
    </w:p>
    <w:p w14:paraId="0E2E2AE7" w14:textId="35FAC142" w:rsidR="00752B74" w:rsidRDefault="008A7323" w:rsidP="005A5D34">
      <w:pPr>
        <w:pStyle w:val="PargrafodaLista"/>
        <w:numPr>
          <w:ilvl w:val="0"/>
          <w:numId w:val="5"/>
        </w:numPr>
        <w:tabs>
          <w:tab w:val="num" w:pos="720"/>
        </w:tabs>
        <w:spacing w:line="240" w:lineRule="auto"/>
        <w:jc w:val="both"/>
        <w:rPr>
          <w:rFonts w:asciiTheme="minorHAnsi" w:hAnsiTheme="minorHAnsi" w:cstheme="minorHAnsi"/>
        </w:rPr>
      </w:pPr>
      <w:r w:rsidRPr="005A5D34">
        <w:rPr>
          <w:rFonts w:asciiTheme="minorHAnsi" w:hAnsiTheme="minorHAnsi" w:cstheme="minorHAnsi"/>
        </w:rPr>
        <w:t xml:space="preserve">Apesar das preocupações persistentes com o impacto das tarifas e </w:t>
      </w:r>
      <w:r w:rsidR="005A5D34">
        <w:rPr>
          <w:rFonts w:asciiTheme="minorHAnsi" w:hAnsiTheme="minorHAnsi" w:cstheme="minorHAnsi"/>
        </w:rPr>
        <w:t>com o ambiente de</w:t>
      </w:r>
      <w:r w:rsidRPr="005A5D34">
        <w:rPr>
          <w:rFonts w:asciiTheme="minorHAnsi" w:hAnsiTheme="minorHAnsi" w:cstheme="minorHAnsi"/>
        </w:rPr>
        <w:t xml:space="preserve"> incerteza económica, os dados </w:t>
      </w:r>
      <w:r w:rsidR="005A5D34">
        <w:rPr>
          <w:rFonts w:asciiTheme="minorHAnsi" w:hAnsiTheme="minorHAnsi" w:cstheme="minorHAnsi"/>
        </w:rPr>
        <w:t>relativos à</w:t>
      </w:r>
      <w:r w:rsidRPr="005A5D34">
        <w:rPr>
          <w:rFonts w:asciiTheme="minorHAnsi" w:hAnsiTheme="minorHAnsi" w:cstheme="minorHAnsi"/>
        </w:rPr>
        <w:t xml:space="preserve"> inflação de maio de 2025, divulgados pelo </w:t>
      </w:r>
      <w:r w:rsidRPr="00791839">
        <w:rPr>
          <w:rFonts w:asciiTheme="minorHAnsi" w:hAnsiTheme="minorHAnsi" w:cstheme="minorHAnsi"/>
          <w:i/>
          <w:iCs/>
        </w:rPr>
        <w:t>Bureau of Labor Statistics</w:t>
      </w:r>
      <w:r w:rsidRPr="005A5D34">
        <w:rPr>
          <w:rFonts w:asciiTheme="minorHAnsi" w:hAnsiTheme="minorHAnsi" w:cstheme="minorHAnsi"/>
        </w:rPr>
        <w:t xml:space="preserve">, superaram as expectativas dos economistas, de acordo com um relatório publicado pelo </w:t>
      </w:r>
      <w:r w:rsidRPr="00791839">
        <w:rPr>
          <w:rFonts w:asciiTheme="minorHAnsi" w:hAnsiTheme="minorHAnsi" w:cstheme="minorHAnsi"/>
          <w:i/>
          <w:iCs/>
        </w:rPr>
        <w:t>The New York Times</w:t>
      </w:r>
      <w:r w:rsidR="00791839">
        <w:rPr>
          <w:rFonts w:asciiTheme="minorHAnsi" w:hAnsiTheme="minorHAnsi" w:cstheme="minorHAnsi"/>
        </w:rPr>
        <w:t>,</w:t>
      </w:r>
      <w:r w:rsidRPr="005A5D34">
        <w:rPr>
          <w:rFonts w:asciiTheme="minorHAnsi" w:hAnsiTheme="minorHAnsi" w:cstheme="minorHAnsi"/>
        </w:rPr>
        <w:t xml:space="preserve"> em junho de 2025.</w:t>
      </w:r>
    </w:p>
    <w:p w14:paraId="67779A4E" w14:textId="77777777" w:rsidR="00695DCE" w:rsidRDefault="00695DCE" w:rsidP="00695DCE">
      <w:pPr>
        <w:pStyle w:val="PargrafodaLista"/>
        <w:spacing w:line="240" w:lineRule="auto"/>
        <w:jc w:val="both"/>
        <w:rPr>
          <w:rFonts w:asciiTheme="minorHAnsi" w:hAnsiTheme="minorHAnsi" w:cstheme="minorHAnsi"/>
        </w:rPr>
      </w:pPr>
    </w:p>
    <w:p w14:paraId="2FA6C988" w14:textId="041D0C13" w:rsidR="005259ED" w:rsidRDefault="00695DCE" w:rsidP="005A5D34">
      <w:pPr>
        <w:pStyle w:val="PargrafodaLista"/>
        <w:numPr>
          <w:ilvl w:val="0"/>
          <w:numId w:val="5"/>
        </w:numPr>
        <w:tabs>
          <w:tab w:val="num" w:pos="720"/>
        </w:tabs>
        <w:spacing w:line="240" w:lineRule="auto"/>
        <w:jc w:val="both"/>
        <w:rPr>
          <w:rFonts w:asciiTheme="minorHAnsi" w:hAnsiTheme="minorHAnsi" w:cstheme="minorHAnsi"/>
        </w:rPr>
      </w:pPr>
      <w:r w:rsidRPr="00695DCE">
        <w:rPr>
          <w:rFonts w:asciiTheme="minorHAnsi" w:hAnsiTheme="minorHAnsi" w:cstheme="minorHAnsi"/>
        </w:rPr>
        <w:t xml:space="preserve">As vendas de </w:t>
      </w:r>
      <w:r>
        <w:rPr>
          <w:rFonts w:asciiTheme="minorHAnsi" w:hAnsiTheme="minorHAnsi" w:cstheme="minorHAnsi"/>
        </w:rPr>
        <w:t>imóveis</w:t>
      </w:r>
      <w:r w:rsidRPr="00695DCE">
        <w:rPr>
          <w:rFonts w:asciiTheme="minorHAnsi" w:hAnsiTheme="minorHAnsi" w:cstheme="minorHAnsi"/>
        </w:rPr>
        <w:t xml:space="preserve"> com valores iguais ou superiores a </w:t>
      </w:r>
      <w:r w:rsidRPr="00363F9C">
        <w:rPr>
          <w:rFonts w:asciiTheme="minorHAnsi" w:hAnsiTheme="minorHAnsi" w:cstheme="minorHAnsi"/>
        </w:rPr>
        <w:t>10 milhões de dólares (</w:t>
      </w:r>
      <w:r w:rsidRPr="00695DCE">
        <w:rPr>
          <w:rFonts w:asciiTheme="minorHAnsi" w:hAnsiTheme="minorHAnsi" w:cstheme="minorHAnsi"/>
        </w:rPr>
        <w:t xml:space="preserve">cerca </w:t>
      </w:r>
      <w:r w:rsidRPr="00363F9C">
        <w:rPr>
          <w:rFonts w:asciiTheme="minorHAnsi" w:hAnsiTheme="minorHAnsi" w:cstheme="minorHAnsi"/>
        </w:rPr>
        <w:t>de 9,3 milhões de euros</w:t>
      </w:r>
      <w:r w:rsidRPr="00695DCE">
        <w:rPr>
          <w:rFonts w:asciiTheme="minorHAnsi" w:hAnsiTheme="minorHAnsi" w:cstheme="minorHAnsi"/>
        </w:rPr>
        <w:t xml:space="preserve">) registaram um forte aumento entre fevereiro e maio de 2025, </w:t>
      </w:r>
      <w:r w:rsidR="00387984">
        <w:rPr>
          <w:rFonts w:asciiTheme="minorHAnsi" w:hAnsiTheme="minorHAnsi" w:cstheme="minorHAnsi"/>
        </w:rPr>
        <w:t>comparativamente ao</w:t>
      </w:r>
      <w:r w:rsidRPr="00695DCE">
        <w:rPr>
          <w:rFonts w:asciiTheme="minorHAnsi" w:hAnsiTheme="minorHAnsi" w:cstheme="minorHAnsi"/>
        </w:rPr>
        <w:t xml:space="preserve"> mesmo período de 2024, segundo uma análise publicada</w:t>
      </w:r>
      <w:r w:rsidR="00363F9C">
        <w:rPr>
          <w:rFonts w:asciiTheme="minorHAnsi" w:hAnsiTheme="minorHAnsi" w:cstheme="minorHAnsi"/>
        </w:rPr>
        <w:t>,</w:t>
      </w:r>
      <w:r w:rsidRPr="00695DCE">
        <w:rPr>
          <w:rFonts w:asciiTheme="minorHAnsi" w:hAnsiTheme="minorHAnsi" w:cstheme="minorHAnsi"/>
        </w:rPr>
        <w:t xml:space="preserve"> em maio de 2025</w:t>
      </w:r>
      <w:r w:rsidR="00363F9C">
        <w:rPr>
          <w:rFonts w:asciiTheme="minorHAnsi" w:hAnsiTheme="minorHAnsi" w:cstheme="minorHAnsi"/>
        </w:rPr>
        <w:t>,</w:t>
      </w:r>
      <w:r w:rsidRPr="00695DCE">
        <w:rPr>
          <w:rFonts w:asciiTheme="minorHAnsi" w:hAnsiTheme="minorHAnsi" w:cstheme="minorHAnsi"/>
        </w:rPr>
        <w:t xml:space="preserve"> pelo </w:t>
      </w:r>
      <w:r w:rsidRPr="00695DCE">
        <w:rPr>
          <w:rFonts w:asciiTheme="minorHAnsi" w:hAnsiTheme="minorHAnsi" w:cstheme="minorHAnsi"/>
          <w:i/>
          <w:iCs/>
        </w:rPr>
        <w:t>The Wall Street Journal</w:t>
      </w:r>
      <w:r w:rsidRPr="00695DCE">
        <w:rPr>
          <w:rFonts w:asciiTheme="minorHAnsi" w:hAnsiTheme="minorHAnsi" w:cstheme="minorHAnsi"/>
        </w:rPr>
        <w:t>.</w:t>
      </w:r>
    </w:p>
    <w:p w14:paraId="1C5B1BE9" w14:textId="77777777" w:rsidR="000D2DE6" w:rsidRPr="000D2DE6" w:rsidRDefault="000D2DE6" w:rsidP="000D2DE6">
      <w:pPr>
        <w:pStyle w:val="PargrafodaLista"/>
        <w:rPr>
          <w:rFonts w:asciiTheme="minorHAnsi" w:hAnsiTheme="minorHAnsi" w:cstheme="minorHAnsi"/>
        </w:rPr>
      </w:pPr>
    </w:p>
    <w:p w14:paraId="249B4879" w14:textId="4404B935" w:rsidR="007647E9" w:rsidRDefault="007647E9" w:rsidP="005A5D34">
      <w:pPr>
        <w:pStyle w:val="PargrafodaLista"/>
        <w:numPr>
          <w:ilvl w:val="0"/>
          <w:numId w:val="5"/>
        </w:numPr>
        <w:tabs>
          <w:tab w:val="num" w:pos="720"/>
        </w:tabs>
        <w:spacing w:line="240" w:lineRule="auto"/>
        <w:jc w:val="both"/>
        <w:rPr>
          <w:rFonts w:asciiTheme="minorHAnsi" w:hAnsiTheme="minorHAnsi" w:cstheme="minorHAnsi"/>
        </w:rPr>
      </w:pPr>
      <w:r w:rsidRPr="007647E9">
        <w:rPr>
          <w:rFonts w:asciiTheme="minorHAnsi" w:hAnsiTheme="minorHAnsi" w:cstheme="minorHAnsi"/>
        </w:rPr>
        <w:t>Nos Estados Unidos, em 2024, os maiores aumentos no valor dos imóveis foram registados entre os agregados familiares com maior riqueza, segundo um relatório da Realtor.com®</w:t>
      </w:r>
      <w:r w:rsidR="001A093B">
        <w:rPr>
          <w:rFonts w:asciiTheme="minorHAnsi" w:hAnsiTheme="minorHAnsi" w:cstheme="minorHAnsi"/>
        </w:rPr>
        <w:t>,</w:t>
      </w:r>
      <w:r w:rsidRPr="007647E9">
        <w:rPr>
          <w:rFonts w:asciiTheme="minorHAnsi" w:hAnsiTheme="minorHAnsi" w:cstheme="minorHAnsi"/>
        </w:rPr>
        <w:t xml:space="preserve"> publicado em abril de 2025.</w:t>
      </w:r>
    </w:p>
    <w:p w14:paraId="14F4FDD1" w14:textId="77777777" w:rsidR="0010603D" w:rsidRPr="0010603D" w:rsidRDefault="0010603D" w:rsidP="0010603D">
      <w:pPr>
        <w:pStyle w:val="PargrafodaLista"/>
        <w:rPr>
          <w:rFonts w:asciiTheme="minorHAnsi" w:hAnsiTheme="minorHAnsi" w:cstheme="minorHAnsi"/>
        </w:rPr>
      </w:pPr>
    </w:p>
    <w:p w14:paraId="289FC929" w14:textId="2387E044" w:rsidR="0010603D" w:rsidRDefault="0010603D" w:rsidP="005A5D34">
      <w:pPr>
        <w:pStyle w:val="PargrafodaLista"/>
        <w:numPr>
          <w:ilvl w:val="0"/>
          <w:numId w:val="5"/>
        </w:numPr>
        <w:tabs>
          <w:tab w:val="num" w:pos="720"/>
        </w:tabs>
        <w:spacing w:line="240" w:lineRule="auto"/>
        <w:jc w:val="both"/>
        <w:rPr>
          <w:rFonts w:asciiTheme="minorHAnsi" w:hAnsiTheme="minorHAnsi" w:cstheme="minorHAnsi"/>
        </w:rPr>
      </w:pPr>
      <w:r w:rsidRPr="0010603D">
        <w:rPr>
          <w:rFonts w:asciiTheme="minorHAnsi" w:hAnsiTheme="minorHAnsi" w:cstheme="minorHAnsi"/>
        </w:rPr>
        <w:t xml:space="preserve">De acordo com </w:t>
      </w:r>
      <w:r w:rsidR="0085340A">
        <w:rPr>
          <w:rFonts w:asciiTheme="minorHAnsi" w:hAnsiTheme="minorHAnsi" w:cstheme="minorHAnsi"/>
        </w:rPr>
        <w:t>um</w:t>
      </w:r>
      <w:r w:rsidRPr="0010603D">
        <w:rPr>
          <w:rFonts w:asciiTheme="minorHAnsi" w:hAnsiTheme="minorHAnsi" w:cstheme="minorHAnsi"/>
        </w:rPr>
        <w:t xml:space="preserve"> inquérito realizado</w:t>
      </w:r>
      <w:r>
        <w:rPr>
          <w:rFonts w:asciiTheme="minorHAnsi" w:hAnsiTheme="minorHAnsi" w:cstheme="minorHAnsi"/>
        </w:rPr>
        <w:t>,</w:t>
      </w:r>
      <w:r w:rsidRPr="0010603D">
        <w:rPr>
          <w:rFonts w:asciiTheme="minorHAnsi" w:hAnsiTheme="minorHAnsi" w:cstheme="minorHAnsi"/>
        </w:rPr>
        <w:t xml:space="preserve"> em 2025</w:t>
      </w:r>
      <w:r>
        <w:rPr>
          <w:rFonts w:asciiTheme="minorHAnsi" w:hAnsiTheme="minorHAnsi" w:cstheme="minorHAnsi"/>
        </w:rPr>
        <w:t>,</w:t>
      </w:r>
      <w:r w:rsidRPr="0010603D">
        <w:rPr>
          <w:rFonts w:asciiTheme="minorHAnsi" w:hAnsiTheme="minorHAnsi" w:cstheme="minorHAnsi"/>
        </w:rPr>
        <w:t xml:space="preserve"> pela Sotheby’s International Realty® junto dos seus consultores, o método de transação mais utilizado no segmento </w:t>
      </w:r>
      <w:r w:rsidR="001E2B70">
        <w:rPr>
          <w:rFonts w:asciiTheme="minorHAnsi" w:hAnsiTheme="minorHAnsi" w:cstheme="minorHAnsi"/>
        </w:rPr>
        <w:t xml:space="preserve">do </w:t>
      </w:r>
      <w:r w:rsidRPr="0010603D">
        <w:rPr>
          <w:rFonts w:asciiTheme="minorHAnsi" w:hAnsiTheme="minorHAnsi" w:cstheme="minorHAnsi"/>
        </w:rPr>
        <w:t>imobiliário de luxo foi o pagamento a pronto (88%).</w:t>
      </w:r>
    </w:p>
    <w:p w14:paraId="32B28CB5" w14:textId="77777777" w:rsidR="001F162D" w:rsidRPr="001F162D" w:rsidRDefault="001F162D" w:rsidP="001F162D">
      <w:pPr>
        <w:pStyle w:val="PargrafodaLista"/>
        <w:rPr>
          <w:rFonts w:asciiTheme="minorHAnsi" w:hAnsiTheme="minorHAnsi" w:cstheme="minorHAnsi"/>
        </w:rPr>
      </w:pPr>
    </w:p>
    <w:p w14:paraId="07ADD434" w14:textId="007FD97C" w:rsidR="001F162D" w:rsidRDefault="001F162D" w:rsidP="005A5D34">
      <w:pPr>
        <w:pStyle w:val="PargrafodaLista"/>
        <w:numPr>
          <w:ilvl w:val="0"/>
          <w:numId w:val="5"/>
        </w:numPr>
        <w:tabs>
          <w:tab w:val="num" w:pos="720"/>
        </w:tabs>
        <w:spacing w:line="240" w:lineRule="auto"/>
        <w:jc w:val="both"/>
        <w:rPr>
          <w:rFonts w:asciiTheme="minorHAnsi" w:hAnsiTheme="minorHAnsi" w:cstheme="minorHAnsi"/>
        </w:rPr>
      </w:pPr>
      <w:r w:rsidRPr="001F162D">
        <w:rPr>
          <w:rFonts w:asciiTheme="minorHAnsi" w:hAnsiTheme="minorHAnsi" w:cstheme="minorHAnsi"/>
        </w:rPr>
        <w:t>O mercado imobiliário em zonas afetadas por catástrofes naturais está a atrair cada vez mais interesse</w:t>
      </w:r>
      <w:r>
        <w:rPr>
          <w:rFonts w:asciiTheme="minorHAnsi" w:hAnsiTheme="minorHAnsi" w:cstheme="minorHAnsi"/>
        </w:rPr>
        <w:t xml:space="preserve"> por parte dos comparadores e investidores</w:t>
      </w:r>
      <w:r w:rsidRPr="001F162D">
        <w:rPr>
          <w:rFonts w:asciiTheme="minorHAnsi" w:hAnsiTheme="minorHAnsi" w:cstheme="minorHAnsi"/>
        </w:rPr>
        <w:t xml:space="preserve">, sobretudo onde existem oportunidades para reconstruir ou desenvolver </w:t>
      </w:r>
      <w:r w:rsidR="00464C29">
        <w:rPr>
          <w:rFonts w:asciiTheme="minorHAnsi" w:hAnsiTheme="minorHAnsi" w:cstheme="minorHAnsi"/>
        </w:rPr>
        <w:t>novos projetos</w:t>
      </w:r>
      <w:r w:rsidRPr="001F162D">
        <w:rPr>
          <w:rFonts w:asciiTheme="minorHAnsi" w:hAnsiTheme="minorHAnsi" w:cstheme="minorHAnsi"/>
        </w:rPr>
        <w:t xml:space="preserve">. Segundo um relatório publicado pelo </w:t>
      </w:r>
      <w:r w:rsidRPr="00464C29">
        <w:rPr>
          <w:rFonts w:asciiTheme="minorHAnsi" w:hAnsiTheme="minorHAnsi" w:cstheme="minorHAnsi"/>
          <w:i/>
          <w:iCs/>
        </w:rPr>
        <w:t>The Wall Street Journal</w:t>
      </w:r>
      <w:r w:rsidRPr="001F162D">
        <w:rPr>
          <w:rFonts w:asciiTheme="minorHAnsi" w:hAnsiTheme="minorHAnsi" w:cstheme="minorHAnsi"/>
        </w:rPr>
        <w:t xml:space="preserve"> em abril de 2025, muitas pessoas com elevado poder </w:t>
      </w:r>
      <w:r w:rsidR="00464C29">
        <w:rPr>
          <w:rFonts w:asciiTheme="minorHAnsi" w:hAnsiTheme="minorHAnsi" w:cstheme="minorHAnsi"/>
        </w:rPr>
        <w:t>de compra</w:t>
      </w:r>
      <w:r w:rsidRPr="001F162D">
        <w:rPr>
          <w:rFonts w:asciiTheme="minorHAnsi" w:hAnsiTheme="minorHAnsi" w:cstheme="minorHAnsi"/>
        </w:rPr>
        <w:t xml:space="preserve"> continuam a mudar-se para áreas vulneráveis a</w:t>
      </w:r>
      <w:r w:rsidR="007B6F7E">
        <w:rPr>
          <w:rFonts w:asciiTheme="minorHAnsi" w:hAnsiTheme="minorHAnsi" w:cstheme="minorHAnsi"/>
        </w:rPr>
        <w:t>os</w:t>
      </w:r>
      <w:r w:rsidRPr="001F162D">
        <w:rPr>
          <w:rFonts w:asciiTheme="minorHAnsi" w:hAnsiTheme="minorHAnsi" w:cstheme="minorHAnsi"/>
        </w:rPr>
        <w:t xml:space="preserve"> fenómenos climáticos</w:t>
      </w:r>
      <w:r w:rsidR="00464C29">
        <w:rPr>
          <w:rFonts w:asciiTheme="minorHAnsi" w:hAnsiTheme="minorHAnsi" w:cstheme="minorHAnsi"/>
        </w:rPr>
        <w:t xml:space="preserve"> </w:t>
      </w:r>
      <w:r w:rsidRPr="001F162D">
        <w:rPr>
          <w:rFonts w:asciiTheme="minorHAnsi" w:hAnsiTheme="minorHAnsi" w:cstheme="minorHAnsi"/>
        </w:rPr>
        <w:t xml:space="preserve">e, ao fazê-lo, acabam por estabelecer novos recordes nos preços </w:t>
      </w:r>
      <w:r w:rsidR="00A07FA6">
        <w:rPr>
          <w:rFonts w:asciiTheme="minorHAnsi" w:hAnsiTheme="minorHAnsi" w:cstheme="minorHAnsi"/>
        </w:rPr>
        <w:t>dos imóveis</w:t>
      </w:r>
      <w:r w:rsidRPr="001F162D">
        <w:rPr>
          <w:rFonts w:asciiTheme="minorHAnsi" w:hAnsiTheme="minorHAnsi" w:cstheme="minorHAnsi"/>
        </w:rPr>
        <w:t xml:space="preserve"> nessas localizações.</w:t>
      </w:r>
    </w:p>
    <w:p w14:paraId="78E6BB98" w14:textId="77777777" w:rsidR="00357618" w:rsidRPr="00357618" w:rsidRDefault="00357618" w:rsidP="00357618">
      <w:pPr>
        <w:pStyle w:val="PargrafodaLista"/>
        <w:rPr>
          <w:rFonts w:asciiTheme="minorHAnsi" w:hAnsiTheme="minorHAnsi" w:cstheme="minorHAnsi"/>
        </w:rPr>
      </w:pPr>
    </w:p>
    <w:p w14:paraId="584C0EF5" w14:textId="4C8118C4" w:rsidR="00357618" w:rsidRPr="00B80DC9" w:rsidRDefault="00357618" w:rsidP="005A5D34">
      <w:pPr>
        <w:pStyle w:val="PargrafodaLista"/>
        <w:numPr>
          <w:ilvl w:val="0"/>
          <w:numId w:val="5"/>
        </w:numPr>
        <w:tabs>
          <w:tab w:val="num" w:pos="720"/>
        </w:tabs>
        <w:spacing w:line="240" w:lineRule="auto"/>
        <w:jc w:val="both"/>
        <w:rPr>
          <w:rFonts w:asciiTheme="minorHAnsi" w:hAnsiTheme="minorHAnsi" w:cstheme="minorHAnsi"/>
        </w:rPr>
      </w:pPr>
      <w:r w:rsidRPr="00357618">
        <w:rPr>
          <w:rFonts w:asciiTheme="minorHAnsi" w:hAnsiTheme="minorHAnsi" w:cstheme="minorHAnsi"/>
        </w:rPr>
        <w:lastRenderedPageBreak/>
        <w:t>Em 2024, o mercado imobiliário de luxo na Índia foi avaliado em</w:t>
      </w:r>
      <w:r>
        <w:rPr>
          <w:rFonts w:asciiTheme="minorHAnsi" w:hAnsiTheme="minorHAnsi" w:cstheme="minorHAnsi"/>
        </w:rPr>
        <w:t>,</w:t>
      </w:r>
      <w:r w:rsidRPr="00357618">
        <w:rPr>
          <w:rFonts w:asciiTheme="minorHAnsi" w:hAnsiTheme="minorHAnsi" w:cstheme="minorHAnsi"/>
        </w:rPr>
        <w:t xml:space="preserve"> aproximadamente</w:t>
      </w:r>
      <w:r>
        <w:rPr>
          <w:rFonts w:asciiTheme="minorHAnsi" w:hAnsiTheme="minorHAnsi" w:cstheme="minorHAnsi"/>
        </w:rPr>
        <w:t>,</w:t>
      </w:r>
      <w:r w:rsidRPr="00357618">
        <w:rPr>
          <w:rFonts w:asciiTheme="minorHAnsi" w:hAnsiTheme="minorHAnsi" w:cstheme="minorHAnsi"/>
        </w:rPr>
        <w:t xml:space="preserve"> 45 mil milhões de dólares (cerca de 42 mil milhões de euros) e estima-se que atinja os 105 mil milhões de dólares (aproximadamente 97,7 mil milhões de euros) até 2030, segundo um relatório divulgado</w:t>
      </w:r>
      <w:r w:rsidR="001076A4">
        <w:rPr>
          <w:rFonts w:asciiTheme="minorHAnsi" w:hAnsiTheme="minorHAnsi" w:cstheme="minorHAnsi"/>
        </w:rPr>
        <w:t>,</w:t>
      </w:r>
      <w:r w:rsidRPr="00357618">
        <w:rPr>
          <w:rFonts w:asciiTheme="minorHAnsi" w:hAnsiTheme="minorHAnsi" w:cstheme="minorHAnsi"/>
        </w:rPr>
        <w:t xml:space="preserve"> em janeiro de 2025</w:t>
      </w:r>
      <w:r w:rsidR="001076A4">
        <w:rPr>
          <w:rFonts w:asciiTheme="minorHAnsi" w:hAnsiTheme="minorHAnsi" w:cstheme="minorHAnsi"/>
        </w:rPr>
        <w:t>,</w:t>
      </w:r>
      <w:r w:rsidRPr="00357618">
        <w:rPr>
          <w:rFonts w:asciiTheme="minorHAnsi" w:hAnsiTheme="minorHAnsi" w:cstheme="minorHAnsi"/>
        </w:rPr>
        <w:t xml:space="preserve"> pela empresa de estudos de mercado </w:t>
      </w:r>
      <w:r w:rsidRPr="001076A4">
        <w:rPr>
          <w:rFonts w:asciiTheme="minorHAnsi" w:hAnsiTheme="minorHAnsi" w:cstheme="minorHAnsi"/>
          <w:i/>
          <w:iCs/>
        </w:rPr>
        <w:t>MarkNtel Advisors.</w:t>
      </w:r>
    </w:p>
    <w:p w14:paraId="71DB19E6" w14:textId="77777777" w:rsidR="00B80DC9" w:rsidRPr="00B80DC9" w:rsidRDefault="00B80DC9" w:rsidP="00B80DC9">
      <w:pPr>
        <w:pStyle w:val="PargrafodaLista"/>
        <w:rPr>
          <w:rFonts w:asciiTheme="minorHAnsi" w:hAnsiTheme="minorHAnsi" w:cstheme="minorHAnsi"/>
        </w:rPr>
      </w:pPr>
    </w:p>
    <w:p w14:paraId="4EC18A15" w14:textId="17D4B0BC" w:rsidR="00B80DC9" w:rsidRDefault="00B80DC9" w:rsidP="005A5D34">
      <w:pPr>
        <w:pStyle w:val="PargrafodaLista"/>
        <w:numPr>
          <w:ilvl w:val="0"/>
          <w:numId w:val="5"/>
        </w:numPr>
        <w:tabs>
          <w:tab w:val="num" w:pos="720"/>
        </w:tabs>
        <w:spacing w:line="240" w:lineRule="auto"/>
        <w:jc w:val="both"/>
        <w:rPr>
          <w:rFonts w:asciiTheme="minorHAnsi" w:hAnsiTheme="minorHAnsi" w:cstheme="minorHAnsi"/>
        </w:rPr>
      </w:pPr>
      <w:r w:rsidRPr="00B80DC9">
        <w:rPr>
          <w:rFonts w:asciiTheme="minorHAnsi" w:hAnsiTheme="minorHAnsi" w:cstheme="minorHAnsi"/>
        </w:rPr>
        <w:t xml:space="preserve">O valor da venda </w:t>
      </w:r>
      <w:r>
        <w:rPr>
          <w:rFonts w:asciiTheme="minorHAnsi" w:hAnsiTheme="minorHAnsi" w:cstheme="minorHAnsi"/>
        </w:rPr>
        <w:t xml:space="preserve">do </w:t>
      </w:r>
      <w:r w:rsidRPr="00B80DC9">
        <w:rPr>
          <w:rFonts w:asciiTheme="minorHAnsi" w:hAnsiTheme="minorHAnsi" w:cstheme="minorHAnsi"/>
        </w:rPr>
        <w:t xml:space="preserve">imóvel mais elevado alguma vez registado em Porto Rico aumentou de 2 milhões de dólares (cerca de 1,86 milhões de euros) para 30 milhões de dólares (aproximadamente 27,9 milhões de euros) ao longo da última década, segundo </w:t>
      </w:r>
      <w:r w:rsidR="00F50C4E">
        <w:rPr>
          <w:rFonts w:asciiTheme="minorHAnsi" w:hAnsiTheme="minorHAnsi" w:cstheme="minorHAnsi"/>
        </w:rPr>
        <w:t xml:space="preserve">os </w:t>
      </w:r>
      <w:r w:rsidRPr="00B80DC9">
        <w:rPr>
          <w:rFonts w:asciiTheme="minorHAnsi" w:hAnsiTheme="minorHAnsi" w:cstheme="minorHAnsi"/>
        </w:rPr>
        <w:t>registos imobiliários locais.</w:t>
      </w:r>
    </w:p>
    <w:p w14:paraId="68C1AE11" w14:textId="77777777" w:rsidR="00FB3A5A" w:rsidRPr="00FB3A5A" w:rsidRDefault="00FB3A5A" w:rsidP="00FB3A5A">
      <w:pPr>
        <w:pStyle w:val="PargrafodaLista"/>
        <w:rPr>
          <w:rFonts w:asciiTheme="minorHAnsi" w:hAnsiTheme="minorHAnsi" w:cstheme="minorHAnsi"/>
        </w:rPr>
      </w:pPr>
    </w:p>
    <w:p w14:paraId="38D1EEC4" w14:textId="6AEFD202" w:rsidR="00FB3A5A" w:rsidRPr="00B80DC9" w:rsidRDefault="00FB3A5A" w:rsidP="005A5D34">
      <w:pPr>
        <w:pStyle w:val="PargrafodaLista"/>
        <w:numPr>
          <w:ilvl w:val="0"/>
          <w:numId w:val="5"/>
        </w:numPr>
        <w:tabs>
          <w:tab w:val="num" w:pos="720"/>
        </w:tabs>
        <w:spacing w:line="240" w:lineRule="auto"/>
        <w:jc w:val="both"/>
        <w:rPr>
          <w:rFonts w:asciiTheme="minorHAnsi" w:hAnsiTheme="minorHAnsi" w:cstheme="minorHAnsi"/>
        </w:rPr>
      </w:pPr>
      <w:r w:rsidRPr="00FB3A5A">
        <w:rPr>
          <w:rFonts w:asciiTheme="minorHAnsi" w:hAnsiTheme="minorHAnsi" w:cstheme="minorHAnsi"/>
        </w:rPr>
        <w:t>A confiança renovada e o novo dinamismo em São Francisco</w:t>
      </w:r>
      <w:r w:rsidR="007056A9">
        <w:rPr>
          <w:rFonts w:asciiTheme="minorHAnsi" w:hAnsiTheme="minorHAnsi" w:cstheme="minorHAnsi"/>
        </w:rPr>
        <w:t xml:space="preserve"> (</w:t>
      </w:r>
      <w:r w:rsidRPr="00FB3A5A">
        <w:rPr>
          <w:rFonts w:asciiTheme="minorHAnsi" w:hAnsiTheme="minorHAnsi" w:cstheme="minorHAnsi"/>
        </w:rPr>
        <w:t>Califórnia</w:t>
      </w:r>
      <w:r w:rsidR="007056A9">
        <w:rPr>
          <w:rFonts w:asciiTheme="minorHAnsi" w:hAnsiTheme="minorHAnsi" w:cstheme="minorHAnsi"/>
        </w:rPr>
        <w:t>)</w:t>
      </w:r>
      <w:r w:rsidR="004047E4">
        <w:rPr>
          <w:rFonts w:asciiTheme="minorHAnsi" w:hAnsiTheme="minorHAnsi" w:cstheme="minorHAnsi"/>
        </w:rPr>
        <w:t xml:space="preserve">, </w:t>
      </w:r>
      <w:r w:rsidRPr="00FB3A5A">
        <w:rPr>
          <w:rFonts w:asciiTheme="minorHAnsi" w:hAnsiTheme="minorHAnsi" w:cstheme="minorHAnsi"/>
        </w:rPr>
        <w:t>estão a impulsionar as</w:t>
      </w:r>
      <w:r w:rsidR="0089718F">
        <w:rPr>
          <w:rFonts w:asciiTheme="minorHAnsi" w:hAnsiTheme="minorHAnsi" w:cstheme="minorHAnsi"/>
        </w:rPr>
        <w:t xml:space="preserve"> suas</w:t>
      </w:r>
      <w:r w:rsidRPr="00FB3A5A">
        <w:rPr>
          <w:rFonts w:asciiTheme="minorHAnsi" w:hAnsiTheme="minorHAnsi" w:cstheme="minorHAnsi"/>
        </w:rPr>
        <w:t xml:space="preserve"> vendas</w:t>
      </w:r>
      <w:r w:rsidR="00AA1024">
        <w:rPr>
          <w:rFonts w:asciiTheme="minorHAnsi" w:hAnsiTheme="minorHAnsi" w:cstheme="minorHAnsi"/>
        </w:rPr>
        <w:t xml:space="preserve"> locais</w:t>
      </w:r>
      <w:r w:rsidRPr="00FB3A5A">
        <w:rPr>
          <w:rFonts w:asciiTheme="minorHAnsi" w:hAnsiTheme="minorHAnsi" w:cstheme="minorHAnsi"/>
        </w:rPr>
        <w:t>. A Sotheby’s International Realty</w:t>
      </w:r>
      <w:r w:rsidR="00AA1024">
        <w:rPr>
          <w:rFonts w:asciiTheme="minorHAnsi" w:hAnsiTheme="minorHAnsi" w:cstheme="minorHAnsi"/>
        </w:rPr>
        <w:t xml:space="preserve"> </w:t>
      </w:r>
      <w:r w:rsidRPr="00FB3A5A">
        <w:rPr>
          <w:rFonts w:asciiTheme="minorHAnsi" w:hAnsiTheme="minorHAnsi" w:cstheme="minorHAnsi"/>
        </w:rPr>
        <w:t xml:space="preserve">– San Francisco Brokerage concluiu, em 2024, várias transações superiores a </w:t>
      </w:r>
      <w:r w:rsidRPr="00AA1024">
        <w:rPr>
          <w:rFonts w:asciiTheme="minorHAnsi" w:hAnsiTheme="minorHAnsi" w:cstheme="minorHAnsi"/>
        </w:rPr>
        <w:t>20 milhões de dólares (cerca de 18,6 milhões de euros),</w:t>
      </w:r>
      <w:r w:rsidRPr="00FB3A5A">
        <w:rPr>
          <w:rFonts w:asciiTheme="minorHAnsi" w:hAnsiTheme="minorHAnsi" w:cstheme="minorHAnsi"/>
        </w:rPr>
        <w:t xml:space="preserve"> ultrapassando os recordes anteriores.</w:t>
      </w:r>
    </w:p>
    <w:p w14:paraId="733DF727" w14:textId="77777777" w:rsidR="00B93346" w:rsidRPr="00357618" w:rsidRDefault="00B93346" w:rsidP="00B35C5E">
      <w:pPr>
        <w:spacing w:line="240" w:lineRule="auto"/>
        <w:jc w:val="both"/>
        <w:rPr>
          <w:rFonts w:asciiTheme="minorHAnsi" w:hAnsiTheme="minorHAnsi" w:cstheme="minorHAnsi"/>
        </w:rPr>
      </w:pPr>
    </w:p>
    <w:p w14:paraId="3A5D29C8" w14:textId="77777777" w:rsidR="008567AE" w:rsidRDefault="008567AE" w:rsidP="00B35C5E">
      <w:pPr>
        <w:spacing w:line="240" w:lineRule="auto"/>
        <w:jc w:val="both"/>
        <w:rPr>
          <w:rFonts w:asciiTheme="minorHAnsi" w:hAnsiTheme="minorHAnsi" w:cstheme="minorHAnsi"/>
        </w:rPr>
      </w:pPr>
    </w:p>
    <w:p w14:paraId="66D76812" w14:textId="4111EC4A" w:rsidR="00363F9C" w:rsidRDefault="00AA1024" w:rsidP="00B35C5E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  <w:r w:rsidRPr="00B35C5E">
        <w:rPr>
          <w:rFonts w:asciiTheme="minorHAnsi" w:hAnsiTheme="minorHAnsi" w:cstheme="minorHAnsi"/>
        </w:rPr>
        <w:t xml:space="preserve">Para aceder ao relatório </w:t>
      </w:r>
      <w:r w:rsidR="006C2DD7" w:rsidRPr="00B93346">
        <w:rPr>
          <w:rFonts w:asciiTheme="minorHAnsi" w:hAnsiTheme="minorHAnsi" w:cstheme="minorHAnsi"/>
          <w:b/>
          <w:bCs/>
        </w:rPr>
        <w:t>Mid-Year Luxury Outlook</w:t>
      </w:r>
      <w:r w:rsidR="006C2DD7">
        <w:rPr>
          <w:rFonts w:asciiTheme="minorHAnsi" w:hAnsiTheme="minorHAnsi" w:cstheme="minorHAnsi"/>
          <w:b/>
          <w:bCs/>
        </w:rPr>
        <w:t xml:space="preserve"> 2025</w:t>
      </w:r>
      <w:r w:rsidR="006C2DD7" w:rsidRPr="00B93346">
        <w:rPr>
          <w:rFonts w:asciiTheme="minorHAnsi" w:hAnsiTheme="minorHAnsi" w:cstheme="minorHAnsi"/>
        </w:rPr>
        <w:t xml:space="preserve"> </w:t>
      </w:r>
      <w:r w:rsidRPr="00B35C5E">
        <w:rPr>
          <w:rFonts w:asciiTheme="minorHAnsi" w:hAnsiTheme="minorHAnsi" w:cstheme="minorHAnsi"/>
        </w:rPr>
        <w:t>pode fazê-lo</w:t>
      </w:r>
      <w:r w:rsidR="006C2DD7">
        <w:rPr>
          <w:rFonts w:asciiTheme="minorHAnsi" w:hAnsiTheme="minorHAnsi" w:cstheme="minorHAnsi"/>
        </w:rPr>
        <w:t xml:space="preserve"> </w:t>
      </w:r>
      <w:hyperlink r:id="rId11" w:history="1">
        <w:r w:rsidR="006C2DD7" w:rsidRPr="006C2DD7">
          <w:rPr>
            <w:rStyle w:val="Hiperligao"/>
            <w:rFonts w:asciiTheme="minorHAnsi" w:hAnsiTheme="minorHAnsi" w:cstheme="minorHAnsi"/>
            <w:b/>
            <w:bCs/>
          </w:rPr>
          <w:t>aqui</w:t>
        </w:r>
      </w:hyperlink>
      <w:r w:rsidR="006C2DD7">
        <w:rPr>
          <w:rFonts w:asciiTheme="minorHAnsi" w:hAnsiTheme="minorHAnsi" w:cstheme="minorHAnsi"/>
          <w:b/>
          <w:bCs/>
        </w:rPr>
        <w:t>.</w:t>
      </w:r>
    </w:p>
    <w:p w14:paraId="72E5465E" w14:textId="77777777" w:rsidR="00663DA8" w:rsidRPr="00663DA8" w:rsidRDefault="00663DA8" w:rsidP="00663DA8">
      <w:pPr>
        <w:spacing w:before="240" w:after="240"/>
        <w:rPr>
          <w:rFonts w:ascii="Calibri" w:eastAsia="Calibri" w:hAnsi="Calibri" w:cs="Calibri"/>
          <w:vertAlign w:val="superscript"/>
          <w:lang w:val="en-GB"/>
        </w:rPr>
      </w:pPr>
      <w:r w:rsidRPr="00663DA8">
        <w:rPr>
          <w:rFonts w:ascii="Calibri" w:eastAsia="Calibri" w:hAnsi="Calibri" w:cs="Calibri"/>
          <w:vertAlign w:val="superscript"/>
          <w:lang w:val="en-GB"/>
        </w:rPr>
        <w:t>1 Realtor.com®, “High-End Housing Market Trends and Outlook,” April 9, 2025</w:t>
      </w:r>
    </w:p>
    <w:p w14:paraId="4F415023" w14:textId="77777777" w:rsidR="00A37956" w:rsidRPr="00A75AB1" w:rsidRDefault="00A37956" w:rsidP="00A37956">
      <w:pPr>
        <w:spacing w:line="240" w:lineRule="auto"/>
        <w:jc w:val="both"/>
        <w:rPr>
          <w:rFonts w:ascii="Calibri" w:hAnsi="Calibri" w:cs="Calibri"/>
          <w:b/>
          <w:sz w:val="18"/>
          <w:szCs w:val="18"/>
        </w:rPr>
      </w:pPr>
      <w:r w:rsidRPr="00A75AB1">
        <w:rPr>
          <w:rFonts w:ascii="Calibri" w:hAnsi="Calibri" w:cs="Calibri"/>
          <w:b/>
          <w:sz w:val="18"/>
          <w:szCs w:val="18"/>
        </w:rPr>
        <w:t>Sobre a Portugal Sotheby’s Realty</w:t>
      </w:r>
    </w:p>
    <w:p w14:paraId="17AC3B4A" w14:textId="77777777" w:rsidR="00A37956" w:rsidRPr="00A75AB1" w:rsidRDefault="00A37956" w:rsidP="00A37956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  <w:r w:rsidRPr="00A75AB1">
        <w:rPr>
          <w:rFonts w:ascii="Calibri" w:hAnsi="Calibri" w:cs="Calibri"/>
          <w:sz w:val="18"/>
          <w:szCs w:val="18"/>
        </w:rPr>
        <w:t>A Sotheby’s nasceu como uma casa de leilões excecional em Londres em 1744, tendo em 1976 sido criada uma imobiliária de luxo com o mesmo nome, a Sotheby’s International Realty. Em Portugal, a Sotheby’s International Realty surge em 2007 com a abertura do seu primeiro escritório no Estoril e, dois anos depois, são inaugurados dois novos escritórios em Lisboa e em Oeiras. Atualmente, a Portugal Sotheby’s Realty conta com uma rede de 10 agências, empregando mais de 200 colaboradores.</w:t>
      </w:r>
      <w:r>
        <w:rPr>
          <w:rFonts w:ascii="Calibri" w:hAnsi="Calibri" w:cs="Calibri"/>
          <w:sz w:val="18"/>
          <w:szCs w:val="18"/>
        </w:rPr>
        <w:t xml:space="preserve"> Mais informações em </w:t>
      </w:r>
      <w:hyperlink r:id="rId12" w:history="1">
        <w:r w:rsidRPr="00A75AB1">
          <w:rPr>
            <w:rStyle w:val="Hiperligao"/>
            <w:rFonts w:ascii="Calibri" w:hAnsi="Calibri" w:cs="Calibri"/>
            <w:bCs/>
            <w:color w:val="000000"/>
            <w:sz w:val="18"/>
            <w:szCs w:val="18"/>
          </w:rPr>
          <w:t>https://www.sothebysrealtypt.com/</w:t>
        </w:r>
      </w:hyperlink>
    </w:p>
    <w:p w14:paraId="2CF1B1DE" w14:textId="77777777" w:rsidR="00A37956" w:rsidRPr="00431153" w:rsidRDefault="00A37956" w:rsidP="006C2DD7">
      <w:pPr>
        <w:spacing w:line="240" w:lineRule="auto"/>
        <w:jc w:val="both"/>
        <w:rPr>
          <w:rFonts w:asciiTheme="minorHAnsi" w:hAnsiTheme="minorHAnsi" w:cstheme="minorHAnsi"/>
        </w:rPr>
      </w:pPr>
    </w:p>
    <w:p w14:paraId="67A069C3" w14:textId="77777777" w:rsidR="006C2DD7" w:rsidRDefault="006C2DD7" w:rsidP="006C2DD7">
      <w:pPr>
        <w:spacing w:line="240" w:lineRule="auto"/>
        <w:jc w:val="both"/>
        <w:rPr>
          <w:rFonts w:asciiTheme="minorHAnsi" w:hAnsiTheme="minorHAnsi" w:cstheme="minorHAnsi"/>
        </w:rPr>
      </w:pPr>
    </w:p>
    <w:p w14:paraId="73A887B6" w14:textId="77777777" w:rsidR="006C2DD7" w:rsidRPr="00B35C5E" w:rsidRDefault="006C2DD7" w:rsidP="006C2DD7">
      <w:pPr>
        <w:spacing w:line="240" w:lineRule="auto"/>
        <w:jc w:val="both"/>
        <w:rPr>
          <w:rStyle w:val="Hiperligao"/>
          <w:rFonts w:asciiTheme="minorHAnsi" w:hAnsiTheme="minorHAnsi" w:cstheme="minorHAnsi"/>
          <w:b/>
          <w:color w:val="000000"/>
          <w:u w:val="none"/>
        </w:rPr>
      </w:pPr>
      <w:r w:rsidRPr="00B35C5E">
        <w:rPr>
          <w:rStyle w:val="Hiperligao"/>
          <w:rFonts w:asciiTheme="minorHAnsi" w:hAnsiTheme="minorHAnsi" w:cstheme="minorHAnsi"/>
          <w:b/>
          <w:color w:val="000000"/>
          <w:u w:val="none"/>
        </w:rPr>
        <w:t>Para mais informações contactar, por favor:</w:t>
      </w:r>
    </w:p>
    <w:p w14:paraId="236B4063" w14:textId="77777777" w:rsidR="006C2DD7" w:rsidRPr="00B35C5E" w:rsidRDefault="006C2DD7" w:rsidP="006C2DD7">
      <w:pPr>
        <w:spacing w:line="240" w:lineRule="auto"/>
        <w:jc w:val="both"/>
        <w:rPr>
          <w:rStyle w:val="Hiperligao"/>
          <w:rFonts w:asciiTheme="minorHAnsi" w:hAnsiTheme="minorHAnsi" w:cstheme="minorHAnsi"/>
          <w:b/>
          <w:color w:val="000000"/>
          <w:u w:val="none"/>
        </w:rPr>
      </w:pPr>
    </w:p>
    <w:p w14:paraId="6491E5C3" w14:textId="77777777" w:rsidR="006C2DD7" w:rsidRPr="00B35C5E" w:rsidRDefault="006C2DD7" w:rsidP="006C2DD7">
      <w:pPr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B35C5E">
        <w:rPr>
          <w:rStyle w:val="Hiperligao"/>
          <w:rFonts w:asciiTheme="minorHAnsi" w:hAnsiTheme="minorHAnsi" w:cstheme="minorHAnsi"/>
          <w:bCs/>
          <w:color w:val="000000"/>
          <w:u w:val="none"/>
        </w:rPr>
        <w:t xml:space="preserve">Carla Rodrigues | </w:t>
      </w:r>
      <w:hyperlink r:id="rId13" w:history="1">
        <w:r w:rsidRPr="00B35C5E">
          <w:rPr>
            <w:rStyle w:val="Hiperligao"/>
            <w:rFonts w:asciiTheme="minorHAnsi" w:hAnsiTheme="minorHAnsi" w:cstheme="minorHAnsi"/>
            <w:bCs/>
          </w:rPr>
          <w:t>carla.rodrigues@lift.com.pt</w:t>
        </w:r>
      </w:hyperlink>
      <w:r w:rsidRPr="00B35C5E">
        <w:rPr>
          <w:rStyle w:val="Hiperligao"/>
          <w:rFonts w:asciiTheme="minorHAnsi" w:hAnsiTheme="minorHAnsi" w:cstheme="minorHAnsi"/>
          <w:bCs/>
          <w:color w:val="000000"/>
          <w:u w:val="none"/>
        </w:rPr>
        <w:t xml:space="preserve"> | </w:t>
      </w:r>
      <w:r w:rsidRPr="00B35C5E">
        <w:rPr>
          <w:rFonts w:asciiTheme="minorHAnsi" w:hAnsiTheme="minorHAnsi" w:cstheme="minorHAnsi"/>
          <w:bCs/>
          <w:color w:val="000000"/>
        </w:rPr>
        <w:t>915 193 379</w:t>
      </w:r>
    </w:p>
    <w:p w14:paraId="4C2854D6" w14:textId="19E1DF62" w:rsidR="006C2DD7" w:rsidRPr="00B35C5E" w:rsidRDefault="006C2DD7" w:rsidP="006C2DD7">
      <w:pPr>
        <w:spacing w:line="240" w:lineRule="auto"/>
        <w:rPr>
          <w:rFonts w:asciiTheme="minorHAnsi" w:eastAsiaTheme="minorHAnsi" w:hAnsiTheme="minorHAnsi" w:cstheme="minorHAnsi"/>
          <w:color w:val="000000"/>
          <w:lang w:eastAsia="pt-PT"/>
          <w14:ligatures w14:val="standardContextual"/>
        </w:rPr>
      </w:pPr>
      <w:r w:rsidRPr="00B35C5E">
        <w:rPr>
          <w:rFonts w:asciiTheme="minorHAnsi" w:hAnsiTheme="minorHAnsi" w:cstheme="minorHAnsi"/>
          <w:color w:val="000000"/>
        </w:rPr>
        <w:t xml:space="preserve">Anabela Pereira | </w:t>
      </w:r>
      <w:hyperlink r:id="rId14" w:history="1">
        <w:r w:rsidRPr="002E0904">
          <w:rPr>
            <w:rStyle w:val="Hiperligao"/>
            <w:rFonts w:asciiTheme="minorHAnsi" w:hAnsiTheme="minorHAnsi" w:cstheme="minorHAnsi"/>
          </w:rPr>
          <w:t>anabela.pereira@lift.com.pt</w:t>
        </w:r>
      </w:hyperlink>
      <w:r w:rsidRPr="00B35C5E">
        <w:rPr>
          <w:rFonts w:asciiTheme="minorHAnsi" w:hAnsiTheme="minorHAnsi" w:cstheme="minorHAnsi"/>
          <w:color w:val="000000"/>
        </w:rPr>
        <w:t xml:space="preserve"> | </w:t>
      </w:r>
      <w:r w:rsidRPr="00B35C5E">
        <w:rPr>
          <w:rFonts w:asciiTheme="minorHAnsi" w:hAnsiTheme="minorHAnsi" w:cstheme="minorHAnsi"/>
          <w:color w:val="000000"/>
          <w14:ligatures w14:val="standardContextual"/>
        </w:rPr>
        <w:t>936 282 863</w:t>
      </w:r>
    </w:p>
    <w:p w14:paraId="424B7E44" w14:textId="77777777" w:rsidR="006C2DD7" w:rsidRPr="00B35C5E" w:rsidRDefault="006C2DD7" w:rsidP="006C2DD7">
      <w:pPr>
        <w:spacing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7AD5B610" w14:textId="77777777" w:rsidR="006C2DD7" w:rsidRPr="006C2DD7" w:rsidRDefault="006C2DD7" w:rsidP="00B35C5E">
      <w:pPr>
        <w:spacing w:line="240" w:lineRule="auto"/>
        <w:jc w:val="both"/>
        <w:rPr>
          <w:rFonts w:asciiTheme="minorHAnsi" w:hAnsiTheme="minorHAnsi" w:cstheme="minorHAnsi"/>
        </w:rPr>
      </w:pPr>
    </w:p>
    <w:p w14:paraId="1FED2255" w14:textId="77777777" w:rsidR="00363F9C" w:rsidRDefault="00363F9C" w:rsidP="00B35C5E">
      <w:pPr>
        <w:spacing w:line="240" w:lineRule="auto"/>
        <w:jc w:val="both"/>
        <w:rPr>
          <w:rFonts w:asciiTheme="minorHAnsi" w:hAnsiTheme="minorHAnsi" w:cstheme="minorHAnsi"/>
        </w:rPr>
      </w:pPr>
    </w:p>
    <w:p w14:paraId="3CB1C62D" w14:textId="77777777" w:rsidR="00363F9C" w:rsidRDefault="00363F9C" w:rsidP="00B35C5E">
      <w:pPr>
        <w:spacing w:line="240" w:lineRule="auto"/>
        <w:jc w:val="both"/>
        <w:rPr>
          <w:rFonts w:asciiTheme="minorHAnsi" w:hAnsiTheme="minorHAnsi" w:cstheme="minorHAnsi"/>
        </w:rPr>
      </w:pPr>
    </w:p>
    <w:p w14:paraId="7BE36154" w14:textId="77777777" w:rsidR="00363F9C" w:rsidRDefault="00363F9C" w:rsidP="00B35C5E">
      <w:pPr>
        <w:spacing w:line="240" w:lineRule="auto"/>
        <w:jc w:val="both"/>
        <w:rPr>
          <w:rFonts w:asciiTheme="minorHAnsi" w:hAnsiTheme="minorHAnsi" w:cstheme="minorHAnsi"/>
        </w:rPr>
      </w:pPr>
    </w:p>
    <w:p w14:paraId="5EAB4F6D" w14:textId="77777777" w:rsidR="00B35C5E" w:rsidRPr="00B35C5E" w:rsidRDefault="00B35C5E" w:rsidP="00B35C5E">
      <w:pPr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6D130247" w14:textId="77777777" w:rsidR="002106DB" w:rsidRPr="00B35C5E" w:rsidRDefault="002106DB" w:rsidP="00B35C5E">
      <w:pPr>
        <w:spacing w:line="240" w:lineRule="auto"/>
        <w:jc w:val="both"/>
        <w:rPr>
          <w:rFonts w:asciiTheme="minorHAnsi" w:hAnsiTheme="minorHAnsi" w:cstheme="minorHAnsi"/>
        </w:rPr>
      </w:pPr>
    </w:p>
    <w:p w14:paraId="0D4B5D66" w14:textId="77777777" w:rsidR="002106DB" w:rsidRPr="00B35C5E" w:rsidRDefault="002106DB" w:rsidP="00B35C5E">
      <w:pPr>
        <w:spacing w:line="240" w:lineRule="auto"/>
        <w:jc w:val="both"/>
        <w:rPr>
          <w:rFonts w:asciiTheme="minorHAnsi" w:hAnsiTheme="minorHAnsi" w:cstheme="minorHAnsi"/>
        </w:rPr>
      </w:pPr>
    </w:p>
    <w:p w14:paraId="1F4AD26C" w14:textId="77777777" w:rsidR="00EC5D03" w:rsidRPr="00B35C5E" w:rsidRDefault="00EC5D03" w:rsidP="00B35C5E">
      <w:pPr>
        <w:spacing w:line="240" w:lineRule="auto"/>
        <w:rPr>
          <w:rFonts w:asciiTheme="minorHAnsi" w:hAnsiTheme="minorHAnsi" w:cstheme="minorHAnsi"/>
        </w:rPr>
      </w:pPr>
    </w:p>
    <w:sectPr w:rsidR="00EC5D03" w:rsidRPr="00B35C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C4FEE"/>
    <w:multiLevelType w:val="hybridMultilevel"/>
    <w:tmpl w:val="2DC076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05799"/>
    <w:multiLevelType w:val="hybridMultilevel"/>
    <w:tmpl w:val="E2BE1E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46AFC"/>
    <w:multiLevelType w:val="multilevel"/>
    <w:tmpl w:val="081674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A0212D8"/>
    <w:multiLevelType w:val="multilevel"/>
    <w:tmpl w:val="46E2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D14633"/>
    <w:multiLevelType w:val="multilevel"/>
    <w:tmpl w:val="A338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415014">
    <w:abstractNumId w:val="2"/>
  </w:num>
  <w:num w:numId="2" w16cid:durableId="870726850">
    <w:abstractNumId w:val="3"/>
  </w:num>
  <w:num w:numId="3" w16cid:durableId="950477651">
    <w:abstractNumId w:val="4"/>
  </w:num>
  <w:num w:numId="4" w16cid:durableId="72549293">
    <w:abstractNumId w:val="1"/>
  </w:num>
  <w:num w:numId="5" w16cid:durableId="92939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EC"/>
    <w:rsid w:val="000221D3"/>
    <w:rsid w:val="00033161"/>
    <w:rsid w:val="00064554"/>
    <w:rsid w:val="00081EEC"/>
    <w:rsid w:val="00084BAA"/>
    <w:rsid w:val="00091241"/>
    <w:rsid w:val="000A3C29"/>
    <w:rsid w:val="000B71CD"/>
    <w:rsid w:val="000D2DE6"/>
    <w:rsid w:val="000E2867"/>
    <w:rsid w:val="000F5D07"/>
    <w:rsid w:val="00104568"/>
    <w:rsid w:val="00104AC0"/>
    <w:rsid w:val="0010603D"/>
    <w:rsid w:val="001061E9"/>
    <w:rsid w:val="001076A4"/>
    <w:rsid w:val="001214C3"/>
    <w:rsid w:val="00134D43"/>
    <w:rsid w:val="0013775A"/>
    <w:rsid w:val="00157C0A"/>
    <w:rsid w:val="00180FA5"/>
    <w:rsid w:val="00183D26"/>
    <w:rsid w:val="001920B9"/>
    <w:rsid w:val="001A093B"/>
    <w:rsid w:val="001A236E"/>
    <w:rsid w:val="001B7D69"/>
    <w:rsid w:val="001C54ED"/>
    <w:rsid w:val="001D2B2C"/>
    <w:rsid w:val="001D4748"/>
    <w:rsid w:val="001D7DEE"/>
    <w:rsid w:val="001E2B70"/>
    <w:rsid w:val="001F162D"/>
    <w:rsid w:val="001F19DD"/>
    <w:rsid w:val="002106DB"/>
    <w:rsid w:val="00210DB9"/>
    <w:rsid w:val="00225442"/>
    <w:rsid w:val="002266DD"/>
    <w:rsid w:val="00237D18"/>
    <w:rsid w:val="00244651"/>
    <w:rsid w:val="0025292C"/>
    <w:rsid w:val="002625B5"/>
    <w:rsid w:val="00262EE9"/>
    <w:rsid w:val="00270276"/>
    <w:rsid w:val="00271385"/>
    <w:rsid w:val="002716B1"/>
    <w:rsid w:val="002C1501"/>
    <w:rsid w:val="002D0CEC"/>
    <w:rsid w:val="002D44D7"/>
    <w:rsid w:val="002E415D"/>
    <w:rsid w:val="002F0AF0"/>
    <w:rsid w:val="00302C0F"/>
    <w:rsid w:val="00326F20"/>
    <w:rsid w:val="00327377"/>
    <w:rsid w:val="00341014"/>
    <w:rsid w:val="00354120"/>
    <w:rsid w:val="00357618"/>
    <w:rsid w:val="00357EEF"/>
    <w:rsid w:val="00363F9C"/>
    <w:rsid w:val="00387984"/>
    <w:rsid w:val="00390F0A"/>
    <w:rsid w:val="003A60F9"/>
    <w:rsid w:val="003A6932"/>
    <w:rsid w:val="003C25C7"/>
    <w:rsid w:val="003D12C9"/>
    <w:rsid w:val="003E0221"/>
    <w:rsid w:val="004047E4"/>
    <w:rsid w:val="004055C6"/>
    <w:rsid w:val="00431153"/>
    <w:rsid w:val="0044177B"/>
    <w:rsid w:val="00463876"/>
    <w:rsid w:val="00464C29"/>
    <w:rsid w:val="004A426D"/>
    <w:rsid w:val="004A4735"/>
    <w:rsid w:val="004B3BBF"/>
    <w:rsid w:val="004E097E"/>
    <w:rsid w:val="004F5451"/>
    <w:rsid w:val="005259ED"/>
    <w:rsid w:val="00532199"/>
    <w:rsid w:val="00540A82"/>
    <w:rsid w:val="00547CE9"/>
    <w:rsid w:val="00550DFE"/>
    <w:rsid w:val="00555E55"/>
    <w:rsid w:val="005719E8"/>
    <w:rsid w:val="00590002"/>
    <w:rsid w:val="005A5D34"/>
    <w:rsid w:val="005D0093"/>
    <w:rsid w:val="005E174E"/>
    <w:rsid w:val="005E4952"/>
    <w:rsid w:val="005F2458"/>
    <w:rsid w:val="0062375C"/>
    <w:rsid w:val="00652C4B"/>
    <w:rsid w:val="0065541A"/>
    <w:rsid w:val="00663DA8"/>
    <w:rsid w:val="006868D3"/>
    <w:rsid w:val="00687CAB"/>
    <w:rsid w:val="006902D6"/>
    <w:rsid w:val="00695DCE"/>
    <w:rsid w:val="00697B1B"/>
    <w:rsid w:val="006C2DD7"/>
    <w:rsid w:val="006E3FD6"/>
    <w:rsid w:val="006F11B0"/>
    <w:rsid w:val="00703573"/>
    <w:rsid w:val="007056A9"/>
    <w:rsid w:val="00712D0D"/>
    <w:rsid w:val="007242C6"/>
    <w:rsid w:val="0073361C"/>
    <w:rsid w:val="00745707"/>
    <w:rsid w:val="00752B74"/>
    <w:rsid w:val="007537D5"/>
    <w:rsid w:val="007647E9"/>
    <w:rsid w:val="00766EA3"/>
    <w:rsid w:val="00791839"/>
    <w:rsid w:val="0079345B"/>
    <w:rsid w:val="007A5F0A"/>
    <w:rsid w:val="007B489D"/>
    <w:rsid w:val="007B6F7E"/>
    <w:rsid w:val="007D1C53"/>
    <w:rsid w:val="007D7E0F"/>
    <w:rsid w:val="007E1184"/>
    <w:rsid w:val="00805A5A"/>
    <w:rsid w:val="00810055"/>
    <w:rsid w:val="0082251F"/>
    <w:rsid w:val="008232BA"/>
    <w:rsid w:val="00825132"/>
    <w:rsid w:val="00843D75"/>
    <w:rsid w:val="0085340A"/>
    <w:rsid w:val="00854884"/>
    <w:rsid w:val="008567AE"/>
    <w:rsid w:val="0086713E"/>
    <w:rsid w:val="0089718F"/>
    <w:rsid w:val="008A7323"/>
    <w:rsid w:val="008C5189"/>
    <w:rsid w:val="008E1A5D"/>
    <w:rsid w:val="008F4EFA"/>
    <w:rsid w:val="008F53CD"/>
    <w:rsid w:val="00915200"/>
    <w:rsid w:val="009164A2"/>
    <w:rsid w:val="00916610"/>
    <w:rsid w:val="009702DD"/>
    <w:rsid w:val="00981462"/>
    <w:rsid w:val="0098629B"/>
    <w:rsid w:val="009935E2"/>
    <w:rsid w:val="00993E7D"/>
    <w:rsid w:val="009979C1"/>
    <w:rsid w:val="009A247A"/>
    <w:rsid w:val="009A5D29"/>
    <w:rsid w:val="009A5F0A"/>
    <w:rsid w:val="009D3E96"/>
    <w:rsid w:val="009E793C"/>
    <w:rsid w:val="00A00025"/>
    <w:rsid w:val="00A07FA6"/>
    <w:rsid w:val="00A15F46"/>
    <w:rsid w:val="00A1767B"/>
    <w:rsid w:val="00A25E11"/>
    <w:rsid w:val="00A37956"/>
    <w:rsid w:val="00A445F3"/>
    <w:rsid w:val="00A52B6C"/>
    <w:rsid w:val="00A63A05"/>
    <w:rsid w:val="00A73089"/>
    <w:rsid w:val="00A84011"/>
    <w:rsid w:val="00AA1024"/>
    <w:rsid w:val="00AB43CA"/>
    <w:rsid w:val="00AB5380"/>
    <w:rsid w:val="00AB546B"/>
    <w:rsid w:val="00AC7FC9"/>
    <w:rsid w:val="00AD0E1E"/>
    <w:rsid w:val="00AF134A"/>
    <w:rsid w:val="00AF62CD"/>
    <w:rsid w:val="00B1512F"/>
    <w:rsid w:val="00B241AF"/>
    <w:rsid w:val="00B311BC"/>
    <w:rsid w:val="00B35C5E"/>
    <w:rsid w:val="00B40EBE"/>
    <w:rsid w:val="00B440A1"/>
    <w:rsid w:val="00B66AFE"/>
    <w:rsid w:val="00B73012"/>
    <w:rsid w:val="00B736E3"/>
    <w:rsid w:val="00B80DC9"/>
    <w:rsid w:val="00B93346"/>
    <w:rsid w:val="00BA4BA3"/>
    <w:rsid w:val="00BD0A0A"/>
    <w:rsid w:val="00BF121E"/>
    <w:rsid w:val="00C044C1"/>
    <w:rsid w:val="00C13954"/>
    <w:rsid w:val="00C27B1D"/>
    <w:rsid w:val="00C3270F"/>
    <w:rsid w:val="00C34AC0"/>
    <w:rsid w:val="00C47AE5"/>
    <w:rsid w:val="00C770D4"/>
    <w:rsid w:val="00C865E9"/>
    <w:rsid w:val="00CA155A"/>
    <w:rsid w:val="00CA52FB"/>
    <w:rsid w:val="00CC0D4D"/>
    <w:rsid w:val="00CE6330"/>
    <w:rsid w:val="00CE6E10"/>
    <w:rsid w:val="00CF73F9"/>
    <w:rsid w:val="00D02E22"/>
    <w:rsid w:val="00D0487E"/>
    <w:rsid w:val="00D06EB7"/>
    <w:rsid w:val="00D14C58"/>
    <w:rsid w:val="00D25B0E"/>
    <w:rsid w:val="00D42339"/>
    <w:rsid w:val="00D74367"/>
    <w:rsid w:val="00D77497"/>
    <w:rsid w:val="00D97DD2"/>
    <w:rsid w:val="00DA51F7"/>
    <w:rsid w:val="00DD3A2D"/>
    <w:rsid w:val="00E042BE"/>
    <w:rsid w:val="00E05E54"/>
    <w:rsid w:val="00E26642"/>
    <w:rsid w:val="00E428D7"/>
    <w:rsid w:val="00E523F1"/>
    <w:rsid w:val="00E5500A"/>
    <w:rsid w:val="00E73F12"/>
    <w:rsid w:val="00E77D87"/>
    <w:rsid w:val="00EC1E7A"/>
    <w:rsid w:val="00EC5D03"/>
    <w:rsid w:val="00EC755A"/>
    <w:rsid w:val="00ED0909"/>
    <w:rsid w:val="00ED1775"/>
    <w:rsid w:val="00ED4479"/>
    <w:rsid w:val="00ED678B"/>
    <w:rsid w:val="00EE0DA5"/>
    <w:rsid w:val="00F17165"/>
    <w:rsid w:val="00F30F96"/>
    <w:rsid w:val="00F3727B"/>
    <w:rsid w:val="00F50C4E"/>
    <w:rsid w:val="00F75E13"/>
    <w:rsid w:val="00F75E5C"/>
    <w:rsid w:val="00F82546"/>
    <w:rsid w:val="00F83C48"/>
    <w:rsid w:val="00F95746"/>
    <w:rsid w:val="00FB3A5A"/>
    <w:rsid w:val="00FD6E6F"/>
    <w:rsid w:val="00FE5047"/>
    <w:rsid w:val="00FF71A8"/>
    <w:rsid w:val="198DD746"/>
    <w:rsid w:val="246B3C6C"/>
    <w:rsid w:val="4330072F"/>
    <w:rsid w:val="5E7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A7D2"/>
  <w15:chartTrackingRefBased/>
  <w15:docId w15:val="{4E742AA9-9BCB-4823-A73D-AC566BD9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6DB"/>
    <w:pPr>
      <w:spacing w:after="0" w:line="276" w:lineRule="auto"/>
    </w:pPr>
    <w:rPr>
      <w:rFonts w:ascii="Arial" w:eastAsia="Arial" w:hAnsi="Arial" w:cs="Arial"/>
      <w:kern w:val="0"/>
      <w:lang w:eastAsia="en-GB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2106D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06DB"/>
    <w:pPr>
      <w:ind w:left="720"/>
      <w:contextualSpacing/>
    </w:pPr>
  </w:style>
  <w:style w:type="paragraph" w:styleId="Reviso">
    <w:name w:val="Revision"/>
    <w:hidden/>
    <w:uiPriority w:val="99"/>
    <w:semiHidden/>
    <w:rsid w:val="00E428D7"/>
    <w:pPr>
      <w:spacing w:after="0" w:line="240" w:lineRule="auto"/>
    </w:pPr>
    <w:rPr>
      <w:rFonts w:ascii="Arial" w:eastAsia="Arial" w:hAnsi="Arial" w:cs="Arial"/>
      <w:kern w:val="0"/>
      <w:lang w:eastAsia="en-GB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35C5E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35C5E"/>
    <w:rPr>
      <w:color w:val="954F72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702D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9702D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9702DD"/>
    <w:rPr>
      <w:rFonts w:ascii="Arial" w:eastAsia="Arial" w:hAnsi="Arial" w:cs="Arial"/>
      <w:kern w:val="0"/>
      <w:sz w:val="20"/>
      <w:szCs w:val="20"/>
      <w:lang w:eastAsia="en-GB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702D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702DD"/>
    <w:rPr>
      <w:rFonts w:ascii="Arial" w:eastAsia="Arial" w:hAnsi="Arial" w:cs="Arial"/>
      <w:b/>
      <w:bCs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rla.rodrigues@lift.com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othebysrealtypt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uxuryoutlook.com/2025-mid-year-luxury-outlook-repor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www.luxuryoutlook.com/2025-mid-year-luxury-outlook-report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anabela.pereira@lift.com.p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a.rodrigues\OneDrive%20-%20Lift%20World\Desktop\Sotheby's\PR%20Estudo%20Luxury%20Outlook%20Report%202025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14742-196e-407d-ac28-755036e92368">
      <Terms xmlns="http://schemas.microsoft.com/office/infopath/2007/PartnerControls"/>
    </lcf76f155ced4ddcb4097134ff3c332f>
    <TaxCatchAll xmlns="5616a63c-10d3-4767-bc27-5282019ed63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E4B95ED44B54C93CF7A24326AA862" ma:contentTypeVersion="16" ma:contentTypeDescription="Create a new document." ma:contentTypeScope="" ma:versionID="99e2f44f1c4188afbee03fc126c18fc8">
  <xsd:schema xmlns:xsd="http://www.w3.org/2001/XMLSchema" xmlns:xs="http://www.w3.org/2001/XMLSchema" xmlns:p="http://schemas.microsoft.com/office/2006/metadata/properties" xmlns:ns2="37e14742-196e-407d-ac28-755036e92368" xmlns:ns3="5616a63c-10d3-4767-bc27-5282019ed633" targetNamespace="http://schemas.microsoft.com/office/2006/metadata/properties" ma:root="true" ma:fieldsID="d154e83391b9c6c29b956c4f577d713c" ns2:_="" ns3:_="">
    <xsd:import namespace="37e14742-196e-407d-ac28-755036e92368"/>
    <xsd:import namespace="5616a63c-10d3-4767-bc27-5282019e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14742-196e-407d-ac28-755036e92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d19024-90d2-4c33-a65e-3c6afe2a8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6a63c-10d3-4767-bc27-5282019e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bd9846-c2b6-4657-aa06-c919c6be6780}" ma:internalName="TaxCatchAll" ma:showField="CatchAllData" ma:web="5616a63c-10d3-4767-bc27-5282019e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F8D4DD-2515-4C99-9EDA-F5B0CF1C54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1DDE77-A927-4C73-8F9A-3D4CCEFF0B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140295-F04F-425C-AAEF-5965DF204302}">
  <ds:schemaRefs>
    <ds:schemaRef ds:uri="http://schemas.microsoft.com/office/2006/metadata/properties"/>
    <ds:schemaRef ds:uri="http://schemas.microsoft.com/office/infopath/2007/PartnerControls"/>
    <ds:schemaRef ds:uri="37e14742-196e-407d-ac28-755036e92368"/>
    <ds:schemaRef ds:uri="5616a63c-10d3-4767-bc27-5282019ed633"/>
  </ds:schemaRefs>
</ds:datastoreItem>
</file>

<file path=customXml/itemProps4.xml><?xml version="1.0" encoding="utf-8"?>
<ds:datastoreItem xmlns:ds="http://schemas.openxmlformats.org/officeDocument/2006/customXml" ds:itemID="{31F87776-787C-4F74-BBD2-BE76151C0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14742-196e-407d-ac28-755036e92368"/>
    <ds:schemaRef ds:uri="5616a63c-10d3-4767-bc27-5282019e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 Estudo Luxury Outlook Report 2025</Template>
  <TotalTime>5</TotalTime>
  <Pages>3</Pages>
  <Words>1320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Links>
    <vt:vector size="6" baseType="variant">
      <vt:variant>
        <vt:i4>5505037</vt:i4>
      </vt:variant>
      <vt:variant>
        <vt:i4>0</vt:i4>
      </vt:variant>
      <vt:variant>
        <vt:i4>0</vt:i4>
      </vt:variant>
      <vt:variant>
        <vt:i4>5</vt:i4>
      </vt:variant>
      <vt:variant>
        <vt:lpwstr>https://www.sothebysrealtypt.com/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Rodrigues</dc:creator>
  <cp:keywords/>
  <dc:description/>
  <cp:lastModifiedBy>Carla Rodrigues</cp:lastModifiedBy>
  <cp:revision>4</cp:revision>
  <cp:lastPrinted>2025-01-23T17:08:00Z</cp:lastPrinted>
  <dcterms:created xsi:type="dcterms:W3CDTF">2025-06-26T08:24:00Z</dcterms:created>
  <dcterms:modified xsi:type="dcterms:W3CDTF">2025-06-26T08:30:00Z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0x010100349E4B95ED44B54C93CF7A24326AA862</vt:lpwstr>
  </property>
</Properties>
</file>