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8562" w14:textId="77777777" w:rsidR="00907EC3" w:rsidRDefault="00D26343">
      <w:pPr>
        <w:spacing w:after="0"/>
      </w:pPr>
      <w:r>
        <w:t>Informacja prasowa</w:t>
      </w:r>
    </w:p>
    <w:p w14:paraId="7C98C60F" w14:textId="59D644C6" w:rsidR="00907EC3" w:rsidRDefault="00D26343">
      <w:pPr>
        <w:spacing w:after="0"/>
        <w:jc w:val="right"/>
      </w:pPr>
      <w:r>
        <w:t xml:space="preserve">Warszawa, </w:t>
      </w:r>
      <w:r w:rsidR="00632167">
        <w:t>1</w:t>
      </w:r>
      <w:r w:rsidR="0064654C">
        <w:t>7</w:t>
      </w:r>
      <w:r>
        <w:t xml:space="preserve"> </w:t>
      </w:r>
      <w:r w:rsidR="00632167">
        <w:t>czerwca</w:t>
      </w:r>
      <w:r>
        <w:t xml:space="preserve"> 2025 r.</w:t>
      </w:r>
    </w:p>
    <w:p w14:paraId="0BF315E7" w14:textId="77777777" w:rsidR="00907EC3" w:rsidRDefault="00907EC3">
      <w:pPr>
        <w:spacing w:after="0"/>
        <w:jc w:val="right"/>
      </w:pPr>
    </w:p>
    <w:p w14:paraId="079BFA7D" w14:textId="011B1262" w:rsidR="00907EC3" w:rsidRDefault="003432C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Czy</w:t>
      </w:r>
      <w:r w:rsidR="0068341C">
        <w:rPr>
          <w:b/>
          <w:bCs/>
          <w:sz w:val="32"/>
          <w:szCs w:val="32"/>
          <w:lang w:val="en-US"/>
        </w:rPr>
        <w:t xml:space="preserve"> </w:t>
      </w:r>
      <w:r w:rsidRPr="003432C4">
        <w:rPr>
          <w:b/>
          <w:bCs/>
          <w:sz w:val="32"/>
          <w:szCs w:val="32"/>
          <w:lang w:val="en-US"/>
        </w:rPr>
        <w:t xml:space="preserve">SMR to game-changer w energetyce? </w:t>
      </w:r>
      <w:r w:rsidR="00632167">
        <w:rPr>
          <w:b/>
          <w:bCs/>
          <w:sz w:val="32"/>
          <w:szCs w:val="32"/>
        </w:rPr>
        <w:t xml:space="preserve">Arup opracował </w:t>
      </w:r>
      <w:r w:rsidR="00D64732">
        <w:rPr>
          <w:b/>
          <w:bCs/>
          <w:sz w:val="32"/>
          <w:szCs w:val="32"/>
        </w:rPr>
        <w:t>przewodnik po technologii małych reaktorów modułowych</w:t>
      </w:r>
      <w:r w:rsidR="007D762F">
        <w:rPr>
          <w:b/>
          <w:bCs/>
          <w:sz w:val="32"/>
          <w:szCs w:val="32"/>
        </w:rPr>
        <w:t>,</w:t>
      </w:r>
      <w:r w:rsidR="00632167">
        <w:rPr>
          <w:b/>
          <w:bCs/>
          <w:sz w:val="32"/>
          <w:szCs w:val="32"/>
        </w:rPr>
        <w:t xml:space="preserve"> w którym </w:t>
      </w:r>
      <w:r w:rsidRPr="003432C4">
        <w:rPr>
          <w:b/>
          <w:bCs/>
          <w:sz w:val="32"/>
          <w:szCs w:val="32"/>
        </w:rPr>
        <w:t>prezentuje scenariusze zastosowań</w:t>
      </w:r>
    </w:p>
    <w:p w14:paraId="45453D57" w14:textId="2D511155" w:rsidR="00537048" w:rsidRDefault="00537048">
      <w:pPr>
        <w:jc w:val="both"/>
        <w:rPr>
          <w:b/>
          <w:bCs/>
        </w:rPr>
      </w:pPr>
      <w:bookmarkStart w:id="0" w:name="_Hlk187149831"/>
      <w:r w:rsidRPr="00537048">
        <w:rPr>
          <w:b/>
          <w:bCs/>
        </w:rPr>
        <w:t xml:space="preserve">Małe, modułowe i pracujące bez przerwy – </w:t>
      </w:r>
      <w:r w:rsidR="005A2C07">
        <w:rPr>
          <w:b/>
          <w:bCs/>
        </w:rPr>
        <w:t xml:space="preserve">dzięki </w:t>
      </w:r>
      <w:r w:rsidR="005A2C07" w:rsidRPr="00537048">
        <w:rPr>
          <w:b/>
          <w:bCs/>
        </w:rPr>
        <w:t xml:space="preserve">Small Modular Reactors (SMR) </w:t>
      </w:r>
      <w:r w:rsidRPr="00537048">
        <w:rPr>
          <w:b/>
          <w:bCs/>
        </w:rPr>
        <w:t xml:space="preserve">nowa era technologii jądrowej może zacząć się szybciej, niż się wydaje. </w:t>
      </w:r>
      <w:r w:rsidR="005A2C07">
        <w:rPr>
          <w:b/>
          <w:bCs/>
        </w:rPr>
        <w:t>Kompaktowe reaktory z</w:t>
      </w:r>
      <w:r w:rsidRPr="00537048">
        <w:rPr>
          <w:b/>
          <w:bCs/>
        </w:rPr>
        <w:t xml:space="preserve">yskują coraz większe zainteresowanie jako przyszłościowe źródło stabilnego, niskoemisyjnego zasilania. </w:t>
      </w:r>
      <w:r w:rsidR="00BE4779">
        <w:rPr>
          <w:b/>
          <w:bCs/>
        </w:rPr>
        <w:t xml:space="preserve">Przewodnik po najważniejszych cechach tej technologii </w:t>
      </w:r>
      <w:r w:rsidRPr="00537048">
        <w:rPr>
          <w:b/>
          <w:bCs/>
        </w:rPr>
        <w:t>przygotowany przez Arup pokazuje, że mogą zapewnić niezawodne wsparcie przy niższych nakładach inwestycyjnych i krótszym czasie realizacji. To technologia, która może odegrać kluczową rolę już w nadchodzącej dekadzie.</w:t>
      </w:r>
      <w:r w:rsidR="004B3645">
        <w:rPr>
          <w:b/>
          <w:bCs/>
        </w:rPr>
        <w:t xml:space="preserve"> </w:t>
      </w:r>
      <w:r w:rsidRPr="00537048">
        <w:rPr>
          <w:b/>
          <w:bCs/>
        </w:rPr>
        <w:t>W jakich konkretnych obszarach SMR mogą okazać się przełomowe?</w:t>
      </w:r>
    </w:p>
    <w:p w14:paraId="036EF50C" w14:textId="75499DCD" w:rsidR="00537048" w:rsidRDefault="00537048" w:rsidP="00DA1560">
      <w:pPr>
        <w:jc w:val="both"/>
      </w:pPr>
      <w:r w:rsidRPr="00537048">
        <w:t xml:space="preserve">W dobie intensywnej transformacji energetycznej świat poszukuje rozwiązań, które będą jednocześnie </w:t>
      </w:r>
      <w:r w:rsidR="005227E9" w:rsidRPr="00537048">
        <w:t>bezemisyjne</w:t>
      </w:r>
      <w:r w:rsidRPr="00537048">
        <w:t xml:space="preserve"> i odporne na wahania podaży. </w:t>
      </w:r>
      <w:r w:rsidR="00DA1560" w:rsidRPr="00DA1560">
        <w:t xml:space="preserve">Obecnie ponad 20 państw prowadzi prace rozwojowe lub wdrożeniowe </w:t>
      </w:r>
      <w:r w:rsidR="00ED66C7">
        <w:t>związane z</w:t>
      </w:r>
      <w:r w:rsidR="00ED66C7" w:rsidRPr="00DA1560">
        <w:t xml:space="preserve"> </w:t>
      </w:r>
      <w:r w:rsidR="00DA1560" w:rsidRPr="00DA1560">
        <w:t>SMR,</w:t>
      </w:r>
      <w:r w:rsidR="00DA1560">
        <w:t xml:space="preserve"> widząc w technologii możliwość </w:t>
      </w:r>
      <w:r w:rsidRPr="00537048">
        <w:t>zapełni</w:t>
      </w:r>
      <w:r w:rsidR="00DA1560">
        <w:t>enia</w:t>
      </w:r>
      <w:r w:rsidRPr="00537048">
        <w:t xml:space="preserve"> luk</w:t>
      </w:r>
      <w:r w:rsidR="00DA1560">
        <w:t>i</w:t>
      </w:r>
      <w:r w:rsidRPr="00537048">
        <w:t xml:space="preserve"> tam, gdzie odnawialne źródła okazują się niewystarczające.</w:t>
      </w:r>
      <w:r w:rsidR="005A2C07">
        <w:rPr>
          <w:rStyle w:val="Odwoanieprzypisudolnego"/>
        </w:rPr>
        <w:footnoteReference w:id="1"/>
      </w:r>
      <w:r w:rsidR="000F317E">
        <w:t xml:space="preserve"> </w:t>
      </w:r>
      <w:r w:rsidR="000F317E" w:rsidRPr="000F317E">
        <w:t>Aby przybliżyć po</w:t>
      </w:r>
      <w:r w:rsidR="000F317E">
        <w:t>tencjał tej technologii</w:t>
      </w:r>
      <w:r w:rsidR="004B3645">
        <w:t>,</w:t>
      </w:r>
      <w:r w:rsidR="000F317E">
        <w:t xml:space="preserve"> Arup, </w:t>
      </w:r>
      <w:r w:rsidR="000F317E" w:rsidRPr="000F317E">
        <w:t xml:space="preserve">globalna firma doradcza, </w:t>
      </w:r>
      <w:r w:rsidR="000F317E">
        <w:t xml:space="preserve">opracowała </w:t>
      </w:r>
      <w:r w:rsidR="00BE4779">
        <w:t>przewodnik</w:t>
      </w:r>
      <w:r w:rsidR="00BE4779" w:rsidRPr="000F317E">
        <w:t xml:space="preserve"> </w:t>
      </w:r>
      <w:r w:rsidRPr="000F317E">
        <w:t>„Small Modular Reactors and Their Potential</w:t>
      </w:r>
      <w:r w:rsidR="000F317E">
        <w:t>”</w:t>
      </w:r>
      <w:r w:rsidR="00BE4779">
        <w:t xml:space="preserve"> </w:t>
      </w:r>
      <w:r w:rsidR="007D762F">
        <w:t>prezentujący</w:t>
      </w:r>
      <w:r w:rsidR="00BE4779">
        <w:t xml:space="preserve"> jej możliwości</w:t>
      </w:r>
      <w:r w:rsidRPr="000F317E">
        <w:t>.</w:t>
      </w:r>
      <w:r w:rsidR="00DA1560">
        <w:t xml:space="preserve"> W ocenie autorów </w:t>
      </w:r>
      <w:r w:rsidR="000F317E" w:rsidRPr="000F317E">
        <w:t xml:space="preserve">małe modułowe reaktory </w:t>
      </w:r>
      <w:r w:rsidR="00BE4779">
        <w:t>mogą</w:t>
      </w:r>
      <w:r w:rsidR="000F317E" w:rsidRPr="000F317E">
        <w:t xml:space="preserve"> skutecznie uzupełniać systemy energetyczne</w:t>
      </w:r>
      <w:r w:rsidR="000F317E">
        <w:t xml:space="preserve">, </w:t>
      </w:r>
      <w:r w:rsidR="00DA1560" w:rsidRPr="00DA1560">
        <w:t>m.in. w centrach danych, przemyśle, produkcji wodoru i odsalaniu wody.</w:t>
      </w:r>
      <w:r w:rsidR="00DA1560">
        <w:t xml:space="preserve"> J</w:t>
      </w:r>
      <w:r w:rsidR="000F317E">
        <w:t>ednak</w:t>
      </w:r>
      <w:r w:rsidR="00DA1560">
        <w:t>, aby się to wydarzyło</w:t>
      </w:r>
      <w:r w:rsidR="004B3645">
        <w:t>,</w:t>
      </w:r>
      <w:r w:rsidR="00DA1560">
        <w:t xml:space="preserve"> konieczne jest właściwe</w:t>
      </w:r>
      <w:r w:rsidR="000F317E" w:rsidRPr="000F317E">
        <w:t xml:space="preserve"> przygotowani</w:t>
      </w:r>
      <w:r w:rsidR="00DA1560">
        <w:t>e</w:t>
      </w:r>
      <w:r w:rsidR="000F317E" w:rsidRPr="000F317E">
        <w:t xml:space="preserve"> infrastruktury, regulacji i otoczenia inwestycyjnego</w:t>
      </w:r>
      <w:r w:rsidR="000F317E">
        <w:t xml:space="preserve">. </w:t>
      </w:r>
    </w:p>
    <w:p w14:paraId="29D8CB9B" w14:textId="0F7F3565" w:rsidR="00043A69" w:rsidRDefault="00D26343" w:rsidP="00157792">
      <w:pPr>
        <w:jc w:val="both"/>
        <w:rPr>
          <w:b/>
          <w:bCs/>
        </w:rPr>
      </w:pPr>
      <w:r>
        <w:t>–</w:t>
      </w:r>
      <w:r w:rsidRPr="50F4C7C4">
        <w:rPr>
          <w:i/>
          <w:iCs/>
        </w:rPr>
        <w:t xml:space="preserve"> </w:t>
      </w:r>
      <w:r w:rsidR="000F317E" w:rsidRPr="50F4C7C4">
        <w:rPr>
          <w:i/>
          <w:iCs/>
        </w:rPr>
        <w:t>Widzimy wyraźnie, że zainteresowanie SMR-</w:t>
      </w:r>
      <w:r w:rsidR="00A46350" w:rsidRPr="50F4C7C4">
        <w:rPr>
          <w:i/>
          <w:iCs/>
        </w:rPr>
        <w:t>ami</w:t>
      </w:r>
      <w:r w:rsidR="000F317E" w:rsidRPr="50F4C7C4">
        <w:rPr>
          <w:i/>
          <w:iCs/>
        </w:rPr>
        <w:t xml:space="preserve"> przekracza już etap koncepcji</w:t>
      </w:r>
      <w:r w:rsidR="00DA1560" w:rsidRPr="50F4C7C4">
        <w:rPr>
          <w:i/>
          <w:iCs/>
        </w:rPr>
        <w:t>.</w:t>
      </w:r>
      <w:r w:rsidR="000F317E" w:rsidRPr="50F4C7C4">
        <w:rPr>
          <w:i/>
          <w:iCs/>
        </w:rPr>
        <w:t xml:space="preserve"> To nie tylko trend technologiczny, ale strategiczny ruch wielu państw w kierunku zwiększenia bezpieczeństwa energetycznego i uniezależnienia od paliw kopalnych. </w:t>
      </w:r>
      <w:r w:rsidR="00DA1560" w:rsidRPr="50F4C7C4">
        <w:rPr>
          <w:i/>
          <w:iCs/>
        </w:rPr>
        <w:t xml:space="preserve">Najbardziej dynamiczne inwestycje obserwujemy w Kanadzie, Chinach, USA i Europie Środkowo-Wschodniej, gdzie SMR postrzegane są jako narzędzie umożliwiające szybkie uzupełnienie </w:t>
      </w:r>
      <w:r w:rsidR="00DF739D" w:rsidRPr="50F4C7C4">
        <w:rPr>
          <w:i/>
          <w:iCs/>
        </w:rPr>
        <w:t>energii</w:t>
      </w:r>
      <w:r w:rsidR="00DA1560" w:rsidRPr="50F4C7C4">
        <w:rPr>
          <w:i/>
          <w:iCs/>
        </w:rPr>
        <w:t xml:space="preserve"> w systemach wymagających elastyczności i odporności na zakłócenia. </w:t>
      </w:r>
      <w:r w:rsidR="000F317E" w:rsidRPr="50F4C7C4">
        <w:rPr>
          <w:i/>
          <w:iCs/>
        </w:rPr>
        <w:t xml:space="preserve">W związku z tak dużym zainteresowaniem technologią i jej potencjałem stworzyliśmy </w:t>
      </w:r>
      <w:r w:rsidR="00D64732">
        <w:rPr>
          <w:i/>
          <w:iCs/>
        </w:rPr>
        <w:t>przewodnik</w:t>
      </w:r>
      <w:r w:rsidR="000F317E" w:rsidRPr="50F4C7C4">
        <w:rPr>
          <w:i/>
          <w:iCs/>
        </w:rPr>
        <w:t xml:space="preserve"> „Small Modular Reactors and Their Potential”, który ma pomóc zrozumieć, </w:t>
      </w:r>
      <w:r w:rsidR="00677402" w:rsidRPr="50F4C7C4">
        <w:rPr>
          <w:i/>
          <w:iCs/>
        </w:rPr>
        <w:t>gdzie SMR mogą znaleźć zastosowanie</w:t>
      </w:r>
      <w:r w:rsidR="000F317E" w:rsidRPr="50F4C7C4">
        <w:rPr>
          <w:i/>
          <w:iCs/>
        </w:rPr>
        <w:t xml:space="preserve"> i jakie działania są niezbędne, by przejść od koncepcji do realnych wdrożeń </w:t>
      </w:r>
      <w:r>
        <w:t>– mówi</w:t>
      </w:r>
      <w:r w:rsidR="00BF2DCD">
        <w:t xml:space="preserve"> </w:t>
      </w:r>
      <w:r w:rsidR="00043A69">
        <w:t xml:space="preserve">Rafał Janus, </w:t>
      </w:r>
      <w:bookmarkEnd w:id="0"/>
      <w:r w:rsidR="00043A69">
        <w:t xml:space="preserve">Energy Leader w Arup </w:t>
      </w:r>
      <w:r w:rsidR="00CD2430">
        <w:t>w Polsce</w:t>
      </w:r>
      <w:r w:rsidR="00043A69">
        <w:t xml:space="preserve">. </w:t>
      </w:r>
    </w:p>
    <w:p w14:paraId="027212BC" w14:textId="238469BA" w:rsidR="007D762F" w:rsidRDefault="00BE4779" w:rsidP="00157792">
      <w:pPr>
        <w:jc w:val="both"/>
        <w:rPr>
          <w:b/>
          <w:bCs/>
        </w:rPr>
      </w:pPr>
      <w:r w:rsidRPr="00BE4779">
        <w:rPr>
          <w:b/>
          <w:bCs/>
        </w:rPr>
        <w:t xml:space="preserve">Potencjał jest duży, ale muszą zmienić się regulacje </w:t>
      </w:r>
    </w:p>
    <w:p w14:paraId="067C4864" w14:textId="263AC876" w:rsidR="00555A8A" w:rsidRDefault="00555A8A" w:rsidP="00157792">
      <w:pPr>
        <w:jc w:val="both"/>
      </w:pPr>
      <w:r>
        <w:t>Small Modular Reactors (SMR) postrzegane są jako jedno z najbardziej obiecujących rozwiązań w kontekście globalnej transformacji energetycznej. Dzięki modułowej konstrukcji, SMR mogą być produkowane seryjnie w fabrykach, a następnie transportowane i składane na miejscu docelowym</w:t>
      </w:r>
      <w:r w:rsidR="00803BFA">
        <w:t>.</w:t>
      </w:r>
      <w:r>
        <w:t xml:space="preserve"> </w:t>
      </w:r>
      <w:r w:rsidR="00803BFA">
        <w:t>P</w:t>
      </w:r>
      <w:r>
        <w:t xml:space="preserve">rzekłada się </w:t>
      </w:r>
      <w:r w:rsidR="00803BFA">
        <w:t xml:space="preserve">to </w:t>
      </w:r>
      <w:r>
        <w:t xml:space="preserve">na krótszy czas realizacji i niższe ryzyko inwestycyjne. </w:t>
      </w:r>
      <w:r w:rsidR="002046B7">
        <w:t xml:space="preserve">Jednocześnie </w:t>
      </w:r>
      <w:r w:rsidR="00157792">
        <w:t xml:space="preserve">do ich instalacji potrzebnych jest </w:t>
      </w:r>
      <w:r w:rsidR="00157792" w:rsidRPr="00157792">
        <w:t xml:space="preserve">zaledwie ok. </w:t>
      </w:r>
      <w:r w:rsidR="005227E9" w:rsidRPr="005227E9">
        <w:t>20</w:t>
      </w:r>
      <w:r w:rsidR="00157792" w:rsidRPr="005227E9">
        <w:t xml:space="preserve"> </w:t>
      </w:r>
      <w:r w:rsidR="005227E9" w:rsidRPr="005227E9">
        <w:t>hektarów</w:t>
      </w:r>
      <w:r w:rsidR="00157792" w:rsidRPr="005227E9">
        <w:t xml:space="preserve"> w porównaniu do </w:t>
      </w:r>
      <w:r w:rsidR="005227E9" w:rsidRPr="005227E9">
        <w:t xml:space="preserve">600 hektarów </w:t>
      </w:r>
      <w:r w:rsidR="00157792" w:rsidRPr="005227E9">
        <w:t xml:space="preserve">dla tradycyjnych elektrowni, co sprawia, że </w:t>
      </w:r>
      <w:r w:rsidR="005A2C07">
        <w:t xml:space="preserve">mogą funkcjonować </w:t>
      </w:r>
      <w:r w:rsidR="00DF739D">
        <w:t>na niewielkich obszarach</w:t>
      </w:r>
      <w:r>
        <w:t>.</w:t>
      </w:r>
      <w:r w:rsidR="005A2C07">
        <w:rPr>
          <w:rStyle w:val="Odwoanieprzypisudolnego"/>
        </w:rPr>
        <w:footnoteReference w:id="2"/>
      </w:r>
      <w:r w:rsidR="00D17A12">
        <w:t xml:space="preserve"> </w:t>
      </w:r>
      <w:r w:rsidR="009619B7">
        <w:t xml:space="preserve">Z kolei możliwość ich łatwego konfigurowania pozwala </w:t>
      </w:r>
      <w:r w:rsidR="00157792">
        <w:t xml:space="preserve">na elastyczne dostosowanie do lokalnych potrzeb – mogą pracować samodzielnie, w zestawach lub jako uzupełnienie odnawialnych źródeł energii, wspierając stabilność sieci. SMR są w stanie dostarczać energię przez całą dobę, niezależnie od warunków pogodowych, co czyni je atrakcyjnym uzupełnieniem dla źródeł, takich jak wiatr czy słońce. Zastosowanie pasywnych </w:t>
      </w:r>
      <w:r w:rsidR="00157792">
        <w:lastRenderedPageBreak/>
        <w:t>systemów bezpieczeństwa, niewymagających zewnętrznego zasilania ani interwencji człowieka, dodatkowo zwiększa ich niezawodność i ogranicza ryzyko awarii.</w:t>
      </w:r>
    </w:p>
    <w:p w14:paraId="12F1601D" w14:textId="7150D794" w:rsidR="00907EC3" w:rsidRDefault="00BE4779" w:rsidP="00555A8A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2629C16" wp14:editId="76C0EC14">
            <wp:extent cx="5760720" cy="3620135"/>
            <wp:effectExtent l="0" t="0" r="0" b="0"/>
            <wp:docPr id="2019719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195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3BBF5" w14:textId="2BE44C5D" w:rsidR="00424A20" w:rsidRDefault="00424A20">
      <w:pPr>
        <w:jc w:val="both"/>
      </w:pPr>
      <w:r w:rsidRPr="00424A20">
        <w:rPr>
          <w:i/>
          <w:iCs/>
          <w:sz w:val="20"/>
          <w:szCs w:val="20"/>
        </w:rPr>
        <w:t xml:space="preserve">Arup, </w:t>
      </w:r>
      <w:r>
        <w:rPr>
          <w:i/>
          <w:iCs/>
          <w:sz w:val="20"/>
          <w:szCs w:val="20"/>
        </w:rPr>
        <w:t xml:space="preserve">Grafika </w:t>
      </w:r>
      <w:r w:rsidRPr="00424A20">
        <w:rPr>
          <w:i/>
          <w:iCs/>
          <w:sz w:val="20"/>
          <w:szCs w:val="20"/>
        </w:rPr>
        <w:t>przedstawiając</w:t>
      </w:r>
      <w:r>
        <w:rPr>
          <w:i/>
          <w:iCs/>
          <w:sz w:val="20"/>
          <w:szCs w:val="20"/>
        </w:rPr>
        <w:t>a</w:t>
      </w:r>
      <w:r w:rsidRPr="00424A20">
        <w:rPr>
          <w:i/>
          <w:iCs/>
          <w:sz w:val="20"/>
          <w:szCs w:val="20"/>
        </w:rPr>
        <w:t xml:space="preserve"> </w:t>
      </w:r>
      <w:r w:rsidR="007D762F">
        <w:rPr>
          <w:i/>
          <w:iCs/>
          <w:sz w:val="20"/>
          <w:szCs w:val="20"/>
        </w:rPr>
        <w:t>cechy</w:t>
      </w:r>
      <w:r w:rsidRPr="00424A20">
        <w:rPr>
          <w:i/>
          <w:iCs/>
          <w:sz w:val="20"/>
          <w:szCs w:val="20"/>
        </w:rPr>
        <w:t xml:space="preserve"> SMR w porównaniu z tradycyjnym reaktorem reaktorowym</w:t>
      </w:r>
      <w:r w:rsidR="007D762F">
        <w:rPr>
          <w:i/>
          <w:iCs/>
          <w:sz w:val="20"/>
          <w:szCs w:val="20"/>
        </w:rPr>
        <w:t xml:space="preserve">, źródło danych: </w:t>
      </w:r>
      <w:r w:rsidR="007D762F" w:rsidRPr="007D762F">
        <w:rPr>
          <w:i/>
          <w:iCs/>
          <w:sz w:val="20"/>
          <w:szCs w:val="20"/>
        </w:rPr>
        <w:t>Idaho National Lab, Cleantech Group, SustainableViews</w:t>
      </w:r>
    </w:p>
    <w:p w14:paraId="396C0A85" w14:textId="23FEEFEA" w:rsidR="00157792" w:rsidRDefault="00157792" w:rsidP="007858F4">
      <w:pPr>
        <w:jc w:val="both"/>
      </w:pPr>
      <w:r>
        <w:t>Wdrażanie SMR wiąże się jednak z istotnymi wyzwaniami.</w:t>
      </w:r>
      <w:r w:rsidR="007858F4">
        <w:t xml:space="preserve"> </w:t>
      </w:r>
      <w:r w:rsidR="007858F4" w:rsidRPr="00F845BA">
        <w:t xml:space="preserve">Według ekspertów Arup przeszkodą w dalszym rozwoju tej technologii </w:t>
      </w:r>
      <w:r w:rsidR="005A2C07" w:rsidRPr="00F845BA">
        <w:t>jest</w:t>
      </w:r>
      <w:r w:rsidR="007858F4" w:rsidRPr="00F845BA">
        <w:t xml:space="preserve"> niejednorodność </w:t>
      </w:r>
      <w:r w:rsidR="00677402" w:rsidRPr="00F845BA">
        <w:t xml:space="preserve">międzynarodowych </w:t>
      </w:r>
      <w:r w:rsidR="007858F4" w:rsidRPr="00F845BA">
        <w:t>regulacji i procedur licencyjnych</w:t>
      </w:r>
      <w:r w:rsidR="005A2C07" w:rsidRPr="00F845BA">
        <w:t>.</w:t>
      </w:r>
      <w:r w:rsidR="005A2C07">
        <w:t xml:space="preserve"> Może to</w:t>
      </w:r>
      <w:r w:rsidR="007858F4">
        <w:t xml:space="preserve"> komplikować współpracę i wydłużać proces komercjalizacji. Obecnie rozwiązania SMR potrzebują </w:t>
      </w:r>
      <w:r w:rsidR="00DF739D">
        <w:t xml:space="preserve">przeprowadzenia pierwszych wdrożeń, </w:t>
      </w:r>
      <w:r>
        <w:t xml:space="preserve">które pozwolą uruchomić łańcuchy dostaw, zbudować popyt i potwierdzić funkcjonalność technologii w praktyce. </w:t>
      </w:r>
      <w:r w:rsidR="007858F4">
        <w:t xml:space="preserve">Pełne wykorzystanie potencjału SMR wymaga dojrzałości łańcucha dostaw, rozwoju infrastruktury oraz dalszych prac badawczo-rozwojowych – szczególnie w przypadku projektów wykorzystujących innowacyjne </w:t>
      </w:r>
      <w:r w:rsidR="005A2C07">
        <w:t xml:space="preserve">paliwa lub </w:t>
      </w:r>
      <w:r w:rsidR="007858F4">
        <w:t>układy chłodzenia. Eksperci</w:t>
      </w:r>
      <w:r>
        <w:t xml:space="preserve"> Arup zwracają także uwagę na znaczenie akceptacji społecznej</w:t>
      </w:r>
      <w:r w:rsidR="007858F4">
        <w:t xml:space="preserve"> w stosunku do SMR</w:t>
      </w:r>
      <w:r>
        <w:t xml:space="preserve">. Zrozumienie i zaufanie do nowej formy energii jądrowej będzie kluczowe dla uzyskania przyzwolenia na jej szersze wdrażanie. </w:t>
      </w:r>
    </w:p>
    <w:p w14:paraId="25A3C2DE" w14:textId="535384E4" w:rsidR="006E36AB" w:rsidRPr="006E36AB" w:rsidRDefault="006E36AB" w:rsidP="17E6AA83">
      <w:pPr>
        <w:jc w:val="both"/>
        <w:rPr>
          <w:i/>
          <w:iCs/>
        </w:rPr>
      </w:pPr>
      <w:r>
        <w:t>–</w:t>
      </w:r>
      <w:r w:rsidR="00ED66C7">
        <w:t xml:space="preserve"> </w:t>
      </w:r>
      <w:r w:rsidR="009619B7" w:rsidRPr="17E6AA83">
        <w:rPr>
          <w:i/>
          <w:iCs/>
        </w:rPr>
        <w:t>SMR to dziś technologia, którą rządy, inwestorzy i sektor inżynieryjny traktują jako realną alternatywę dla dużych, skomplikowanych projektów atomowych. Tego rodzaju reaktory</w:t>
      </w:r>
      <w:r w:rsidR="00A628EB" w:rsidRPr="17E6AA83">
        <w:rPr>
          <w:i/>
          <w:iCs/>
        </w:rPr>
        <w:t xml:space="preserve"> </w:t>
      </w:r>
      <w:r w:rsidR="187D1E27" w:rsidRPr="17E6AA83">
        <w:rPr>
          <w:i/>
          <w:iCs/>
        </w:rPr>
        <w:t xml:space="preserve">w swoim założeniu </w:t>
      </w:r>
      <w:r w:rsidR="00A628EB" w:rsidRPr="17E6AA83">
        <w:rPr>
          <w:i/>
          <w:iCs/>
        </w:rPr>
        <w:t>są</w:t>
      </w:r>
      <w:r w:rsidR="009619B7" w:rsidRPr="17E6AA83">
        <w:rPr>
          <w:i/>
          <w:iCs/>
        </w:rPr>
        <w:t xml:space="preserve"> mniejsze, szybsze w realizacji i możliwe do sfinansowania prywatnym kapitałem. Polska </w:t>
      </w:r>
      <w:r w:rsidR="00677402" w:rsidRPr="17E6AA83">
        <w:rPr>
          <w:i/>
          <w:iCs/>
        </w:rPr>
        <w:t>rozwijaj</w:t>
      </w:r>
      <w:r w:rsidR="00A628EB" w:rsidRPr="17E6AA83">
        <w:rPr>
          <w:i/>
          <w:iCs/>
        </w:rPr>
        <w:t>ą</w:t>
      </w:r>
      <w:r w:rsidR="00677402" w:rsidRPr="17E6AA83">
        <w:rPr>
          <w:i/>
          <w:iCs/>
        </w:rPr>
        <w:t>c t</w:t>
      </w:r>
      <w:r w:rsidR="00A628EB" w:rsidRPr="17E6AA83">
        <w:rPr>
          <w:i/>
          <w:iCs/>
        </w:rPr>
        <w:t>ę</w:t>
      </w:r>
      <w:r w:rsidR="00677402" w:rsidRPr="17E6AA83">
        <w:rPr>
          <w:i/>
          <w:iCs/>
        </w:rPr>
        <w:t xml:space="preserve"> technologię </w:t>
      </w:r>
      <w:r w:rsidR="009619B7" w:rsidRPr="17E6AA83">
        <w:rPr>
          <w:i/>
          <w:iCs/>
        </w:rPr>
        <w:t xml:space="preserve">wyrasta na jeden z najbardziej dynamicznych rynków w Europie, a jej ambicje w zakresie SMR mogą uczynić ją liderem. Z punktu widzenia Wielkiej Brytanii to naturalny partner – zwłaszcza że obie strony mają już pierwsze doświadczenia we współpracy w tym obszarze </w:t>
      </w:r>
      <w:r w:rsidRPr="17E6AA83">
        <w:rPr>
          <w:i/>
          <w:iCs/>
        </w:rPr>
        <w:t>–</w:t>
      </w:r>
      <w:r>
        <w:t xml:space="preserve"> mówi Jeremy </w:t>
      </w:r>
      <w:r w:rsidRPr="0068341C">
        <w:t>St</w:t>
      </w:r>
      <w:r w:rsidR="00050865" w:rsidRPr="0068341C">
        <w:t>a</w:t>
      </w:r>
      <w:r w:rsidR="00043A69" w:rsidRPr="0068341C">
        <w:t>i</w:t>
      </w:r>
      <w:r w:rsidRPr="0068341C">
        <w:t xml:space="preserve">n, </w:t>
      </w:r>
      <w:r w:rsidR="00050865">
        <w:t xml:space="preserve">globalny </w:t>
      </w:r>
      <w:r>
        <w:t>dyrektor ds. energii jądrowej w Arup.</w:t>
      </w:r>
    </w:p>
    <w:p w14:paraId="5CF58912" w14:textId="77777777" w:rsidR="007D762F" w:rsidRDefault="00BE4779" w:rsidP="00214B84">
      <w:pPr>
        <w:jc w:val="both"/>
        <w:rPr>
          <w:b/>
          <w:bCs/>
        </w:rPr>
      </w:pPr>
      <w:r w:rsidRPr="00BE4779">
        <w:rPr>
          <w:b/>
          <w:bCs/>
        </w:rPr>
        <w:t xml:space="preserve">Centra danych, hutnictwo, produkcja zielonego wodoru, odsalanie wody </w:t>
      </w:r>
    </w:p>
    <w:p w14:paraId="698B723A" w14:textId="3A3874EF" w:rsidR="00214B84" w:rsidRDefault="00502C88" w:rsidP="00214B84">
      <w:pPr>
        <w:jc w:val="both"/>
      </w:pPr>
      <w:r>
        <w:t>Eksperci Arup podkreślają, że technologia SMR jest możliwa do zastosowania w wielu kluczowych sektorach gospodarki, takich</w:t>
      </w:r>
      <w:r w:rsidR="003E45F0">
        <w:t xml:space="preserve"> przemysł, high-tech czy gospodarka wodna. </w:t>
      </w:r>
      <w:r>
        <w:t>W przypadku centrów danych</w:t>
      </w:r>
      <w:r w:rsidR="003E45F0">
        <w:t xml:space="preserve"> </w:t>
      </w:r>
      <w:r>
        <w:t xml:space="preserve">SMR mogą zapewnić niezawodne, całodobowe źródło zasilania o niskim śladzie węglowym. Pojedynczy reaktor jest w stanie pokryć potrzeby energetyczne dużego </w:t>
      </w:r>
      <w:r w:rsidR="00D64732">
        <w:t>obiektu</w:t>
      </w:r>
      <w:r>
        <w:t xml:space="preserve">, a </w:t>
      </w:r>
      <w:r w:rsidR="009B0E8B">
        <w:t>dzięki</w:t>
      </w:r>
      <w:r>
        <w:t xml:space="preserve"> modułowoś</w:t>
      </w:r>
      <w:r w:rsidR="009B0E8B">
        <w:t>ci</w:t>
      </w:r>
      <w:r>
        <w:t xml:space="preserve"> </w:t>
      </w:r>
      <w:r w:rsidR="009B0E8B">
        <w:t xml:space="preserve">możliwa jest </w:t>
      </w:r>
      <w:r>
        <w:lastRenderedPageBreak/>
        <w:t>rozbudow</w:t>
      </w:r>
      <w:r w:rsidR="009B0E8B">
        <w:t>a</w:t>
      </w:r>
      <w:r>
        <w:t xml:space="preserve"> instalacji </w:t>
      </w:r>
      <w:r w:rsidR="009B0E8B">
        <w:t>w miarę</w:t>
      </w:r>
      <w:r>
        <w:t xml:space="preserve"> wzrost</w:t>
      </w:r>
      <w:r w:rsidR="009B0E8B">
        <w:t>u</w:t>
      </w:r>
      <w:r>
        <w:t xml:space="preserve"> zapotrzebowania. Dodatkowo, możliwość współdzielenia infrastruktury chłodzenia między SMR a centrami danych zwiększa efektywność energetyczną. Z kolei w przemyśle SMR </w:t>
      </w:r>
      <w:r w:rsidR="009B0E8B">
        <w:t xml:space="preserve">ma szansę </w:t>
      </w:r>
      <w:r w:rsidR="00214B84">
        <w:t>odegrać kluczową, szczególnie tam, gdzie potrzebne są wysokie temperatury i stabilne źródła energii. Reaktory te są w stanie wytwarzać zarówno niskotemperaturowe, jak i wysokotemperaturowe ciepło powyżej 400°C, a w niektórych przypadkach nawet do 750°C</w:t>
      </w:r>
      <w:r w:rsidR="009B0E8B">
        <w:t>. Sprawia to</w:t>
      </w:r>
      <w:r w:rsidR="00214B84">
        <w:t xml:space="preserve">, że doskonale nadają się do zastosowań w procesach technologicznych w hutnictwie, chemii czy przemyśle cementowym. SMR mogą z powodzeniem zastąpić kotły opalane paliwami kopalnymi, dostarczając czystą, niskoemisyjną energię cieplną i elektryczną. </w:t>
      </w:r>
    </w:p>
    <w:p w14:paraId="3C936076" w14:textId="7C97C467" w:rsidR="00502C88" w:rsidRDefault="00214B84" w:rsidP="00DA5A4F">
      <w:pPr>
        <w:jc w:val="both"/>
      </w:pPr>
      <w:r>
        <w:t>Równie obiecujące jest ich zastosowanie w produkcji zielonego wodoru i paliw syntetycznych. Dzięki zdolności do wytwarzania zarówno energii elektrycznej, jak i wysokotemperaturowego</w:t>
      </w:r>
      <w:r w:rsidR="00803BFA">
        <w:t xml:space="preserve"> </w:t>
      </w:r>
      <w:r>
        <w:t>ciepła zapewniają wszystko, co niezbędne do efektywnej produkcji wodoru, np. poprzez elektrolizę wody. Co ważne, wodór wytwarzany przy użyciu energii z niskoemisyjnych źródeł, takich jak SMR, uznawany jest za zrównoważony</w:t>
      </w:r>
      <w:r w:rsidR="004B3645">
        <w:t>,</w:t>
      </w:r>
      <w:r>
        <w:t xml:space="preserve"> ponieważ </w:t>
      </w:r>
      <w:r w:rsidR="00BE4779">
        <w:t>jego proces produkcyjny</w:t>
      </w:r>
      <w:r>
        <w:t xml:space="preserve"> nie generuje emisji CO₂. Paliwa syntetyczne produkowane na bazie wodoru mogą z kolei skutecznie zastępować paliwa kopalne w sektorach, które trudno zdekarbonizować – takich jak transport lotniczy. </w:t>
      </w:r>
      <w:r w:rsidR="003E45F0">
        <w:t xml:space="preserve">Według autorów </w:t>
      </w:r>
      <w:r w:rsidR="00D64732">
        <w:t>przewodnika</w:t>
      </w:r>
      <w:r w:rsidR="003E45F0">
        <w:t xml:space="preserve">, </w:t>
      </w:r>
      <w:r w:rsidR="00502C88">
        <w:t xml:space="preserve">SMR </w:t>
      </w:r>
      <w:r w:rsidR="003E45F0">
        <w:t xml:space="preserve">są nawet w stanie zmienić </w:t>
      </w:r>
      <w:r w:rsidR="00502C88">
        <w:t>sposób, w jaki rozwiązujemy kryzys wodny. Ponad 300 milionów ludzi na świecie korzysta z odsalanej wody, a liczba ta stale rośnie.</w:t>
      </w:r>
      <w:r w:rsidR="005A2C07">
        <w:rPr>
          <w:rStyle w:val="Odwoanieprzypisudolnego"/>
        </w:rPr>
        <w:footnoteReference w:id="3"/>
      </w:r>
      <w:r w:rsidR="00DA5A4F">
        <w:t xml:space="preserve"> Jednak tradycyjne instalacje odsalające są wyjątkowo energochłonne i najczęściej zasilane paliwami kopalnymi, co generuje znaczne emisje CO₂. Technologia SMR może stanowić niskoemisyjną alternatywę, dostarczając zarówno energię elektryczną, jak i ciepło potrzebne do prowadzenia procesów odsalania.</w:t>
      </w:r>
    </w:p>
    <w:p w14:paraId="455AB09A" w14:textId="132FDFBD" w:rsidR="00424A20" w:rsidRDefault="00424A20" w:rsidP="00502C88">
      <w:pPr>
        <w:jc w:val="both"/>
      </w:pPr>
      <w:r>
        <w:rPr>
          <w:noProof/>
          <w:lang w:eastAsia="pl-PL"/>
        </w:rPr>
        <w:drawing>
          <wp:inline distT="0" distB="0" distL="0" distR="0" wp14:anchorId="063C462B" wp14:editId="49B6F0F8">
            <wp:extent cx="5173809" cy="3000375"/>
            <wp:effectExtent l="0" t="0" r="8255" b="0"/>
            <wp:docPr id="16671195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551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4152" cy="300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9255" w14:textId="6DA20340" w:rsidR="00424A20" w:rsidRPr="00424A20" w:rsidRDefault="00424A20" w:rsidP="00424A20">
      <w:pPr>
        <w:jc w:val="both"/>
        <w:rPr>
          <w:i/>
          <w:iCs/>
          <w:sz w:val="20"/>
          <w:szCs w:val="20"/>
        </w:rPr>
      </w:pPr>
      <w:r w:rsidRPr="00424A20">
        <w:rPr>
          <w:i/>
          <w:iCs/>
          <w:sz w:val="20"/>
          <w:szCs w:val="20"/>
        </w:rPr>
        <w:t xml:space="preserve">Arup, </w:t>
      </w:r>
      <w:r>
        <w:rPr>
          <w:i/>
          <w:iCs/>
          <w:sz w:val="20"/>
          <w:szCs w:val="20"/>
        </w:rPr>
        <w:t>Grafika przedstawiająca m</w:t>
      </w:r>
      <w:r w:rsidRPr="00424A20">
        <w:rPr>
          <w:i/>
          <w:iCs/>
          <w:sz w:val="20"/>
          <w:szCs w:val="20"/>
        </w:rPr>
        <w:t>ożliwe</w:t>
      </w:r>
      <w:r>
        <w:rPr>
          <w:i/>
          <w:iCs/>
          <w:sz w:val="20"/>
          <w:szCs w:val="20"/>
        </w:rPr>
        <w:t xml:space="preserve"> obszary</w:t>
      </w:r>
      <w:r w:rsidRPr="00424A20">
        <w:rPr>
          <w:i/>
          <w:iCs/>
          <w:sz w:val="20"/>
          <w:szCs w:val="20"/>
        </w:rPr>
        <w:t xml:space="preserve"> wykorzystania SMR</w:t>
      </w:r>
    </w:p>
    <w:p w14:paraId="2F429FD4" w14:textId="6D2849A6" w:rsidR="00907EC3" w:rsidRDefault="00DA5A4F" w:rsidP="00DA5A4F">
      <w:pPr>
        <w:jc w:val="both"/>
      </w:pPr>
      <w:r>
        <w:t xml:space="preserve">– </w:t>
      </w:r>
      <w:r w:rsidRPr="17E6AA83">
        <w:rPr>
          <w:i/>
          <w:iCs/>
        </w:rPr>
        <w:t xml:space="preserve">Potencjał technologii SMR wykracza daleko poza energetykę. </w:t>
      </w:r>
      <w:r w:rsidR="00BE4779" w:rsidRPr="17E6AA83">
        <w:rPr>
          <w:i/>
          <w:iCs/>
        </w:rPr>
        <w:t>M</w:t>
      </w:r>
      <w:r w:rsidRPr="17E6AA83">
        <w:rPr>
          <w:i/>
          <w:iCs/>
        </w:rPr>
        <w:t xml:space="preserve">ogą zasilać energochłonne centra danych, umożliwić rozwój zeroemisyjnego przemysłu, wspierać produkcję zielonego wodoru i odsalanie wody. Jeśli uda się przezwyciężyć </w:t>
      </w:r>
      <w:r w:rsidR="00677402" w:rsidRPr="17E6AA83">
        <w:rPr>
          <w:i/>
          <w:iCs/>
        </w:rPr>
        <w:t>przeszkody</w:t>
      </w:r>
      <w:r w:rsidRPr="17E6AA83">
        <w:rPr>
          <w:i/>
          <w:iCs/>
        </w:rPr>
        <w:t xml:space="preserve"> regulacyjne i zbudować zaufanie społeczne, SMR </w:t>
      </w:r>
      <w:r w:rsidR="00677402" w:rsidRPr="17E6AA83">
        <w:rPr>
          <w:i/>
          <w:iCs/>
        </w:rPr>
        <w:t>mogą</w:t>
      </w:r>
      <w:r w:rsidRPr="17E6AA83">
        <w:rPr>
          <w:i/>
          <w:iCs/>
        </w:rPr>
        <w:t xml:space="preserve"> całkowicie zmienić sposób, w jaki myślimy o dostępie do czystej, niezawodnej energii lokalnie i globalnie</w:t>
      </w:r>
      <w:r>
        <w:t xml:space="preserve">. </w:t>
      </w:r>
      <w:r w:rsidRPr="17E6AA83">
        <w:rPr>
          <w:i/>
          <w:iCs/>
        </w:rPr>
        <w:t xml:space="preserve">Spodziewamy się, że największe wdrożenia wspierane przez rządy i </w:t>
      </w:r>
      <w:r w:rsidR="7895F26B" w:rsidRPr="17E6AA83">
        <w:rPr>
          <w:i/>
          <w:iCs/>
        </w:rPr>
        <w:t xml:space="preserve">stan </w:t>
      </w:r>
      <w:r w:rsidRPr="17E6AA83">
        <w:rPr>
          <w:i/>
          <w:iCs/>
        </w:rPr>
        <w:t>rozw</w:t>
      </w:r>
      <w:r w:rsidR="35B127E3" w:rsidRPr="17E6AA83">
        <w:rPr>
          <w:i/>
          <w:iCs/>
        </w:rPr>
        <w:t>oju</w:t>
      </w:r>
      <w:r w:rsidRPr="17E6AA83">
        <w:rPr>
          <w:i/>
          <w:iCs/>
        </w:rPr>
        <w:t xml:space="preserve"> rynku, rozpoczną się już w pierwszej połowie lat 30. </w:t>
      </w:r>
      <w:r w:rsidR="00D26343">
        <w:t>–</w:t>
      </w:r>
      <w:r w:rsidR="00F0251B">
        <w:t xml:space="preserve"> mówi Rafał Janus, Energy Leader w Arup </w:t>
      </w:r>
      <w:r w:rsidR="00042836">
        <w:t>w Polsce</w:t>
      </w:r>
      <w:r w:rsidR="00F0251B">
        <w:t xml:space="preserve">. </w:t>
      </w:r>
    </w:p>
    <w:p w14:paraId="0280C327" w14:textId="29D5BBDD" w:rsidR="00907EC3" w:rsidRPr="00DA5A4F" w:rsidRDefault="00DA5A4F">
      <w:pPr>
        <w:spacing w:after="0"/>
        <w:jc w:val="both"/>
        <w:rPr>
          <w:lang w:val="en-US"/>
        </w:rPr>
      </w:pPr>
      <w:r>
        <w:lastRenderedPageBreak/>
        <w:t>Small Modular Reactors to wielofunkcyjne narzędzie transformacji energetycznej, które może odegrać kluczową rolę w budowie odpornej, niskoemisyjnej gospodarki przyszłości.</w:t>
      </w:r>
      <w:r w:rsidR="00D26343">
        <w:t xml:space="preserve"> </w:t>
      </w:r>
      <w:r w:rsidRPr="17E6AA83">
        <w:rPr>
          <w:lang w:val="en-US"/>
        </w:rPr>
        <w:t xml:space="preserve">Cały </w:t>
      </w:r>
      <w:r w:rsidR="00D64732">
        <w:rPr>
          <w:lang w:val="en-US"/>
        </w:rPr>
        <w:t>przewodnik</w:t>
      </w:r>
      <w:r w:rsidRPr="17E6AA83">
        <w:rPr>
          <w:lang w:val="en-US"/>
        </w:rPr>
        <w:t xml:space="preserve"> „Small Modular Reactors and Their Potential” można znaleźć na stronie Arup. </w:t>
      </w:r>
    </w:p>
    <w:p w14:paraId="20CB6259" w14:textId="77777777" w:rsidR="00907EC3" w:rsidRPr="00DA5A4F" w:rsidRDefault="00907EC3">
      <w:pPr>
        <w:spacing w:after="0"/>
        <w:jc w:val="both"/>
        <w:rPr>
          <w:i/>
          <w:iCs/>
          <w:sz w:val="20"/>
          <w:szCs w:val="20"/>
          <w:lang w:val="en-US"/>
        </w:rPr>
      </w:pPr>
    </w:p>
    <w:p w14:paraId="1A210DD9" w14:textId="77777777" w:rsidR="00137317" w:rsidRPr="00137317" w:rsidRDefault="00137317" w:rsidP="00137317">
      <w:pPr>
        <w:spacing w:after="0"/>
        <w:jc w:val="both"/>
        <w:rPr>
          <w:sz w:val="16"/>
          <w:szCs w:val="16"/>
        </w:rPr>
      </w:pPr>
      <w:r w:rsidRPr="00137317">
        <w:rPr>
          <w:b/>
          <w:sz w:val="16"/>
          <w:szCs w:val="16"/>
        </w:rPr>
        <w:t xml:space="preserve">Arup </w:t>
      </w:r>
      <w:r w:rsidRPr="00137317">
        <w:rPr>
          <w:sz w:val="16"/>
          <w:szCs w:val="16"/>
        </w:rPr>
        <w:t xml:space="preserve">to globalna firma doradcza, która wyznacza kierunki, planuje i projektuje przyszłość nieruchomości, przestrzeni miejskiej 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Arup należą m.in. Opera w Sydney, najdłuższy most na świecie Hongkong–Zhuhai–Makau, a także polskie projekty, takie jak Zielona Wizja Warszawy, najbardziej zrównoważona fabryka w Europie – zakład PepsiCo pod Środą Śląską oraz łódzkie Orientarium. Więcej informacji na temat firmy na: </w:t>
      </w:r>
      <w:hyperlink r:id="rId8" w:history="1">
        <w:r w:rsidRPr="00137317">
          <w:rPr>
            <w:rStyle w:val="Hipercze"/>
            <w:sz w:val="16"/>
            <w:szCs w:val="16"/>
          </w:rPr>
          <w:t>https://www.arup.com/about-us/</w:t>
        </w:r>
      </w:hyperlink>
    </w:p>
    <w:p w14:paraId="565A40DD" w14:textId="77777777" w:rsidR="00907EC3" w:rsidRDefault="00907EC3">
      <w:pPr>
        <w:spacing w:after="0"/>
        <w:jc w:val="both"/>
        <w:rPr>
          <w:sz w:val="24"/>
          <w:szCs w:val="24"/>
        </w:rPr>
      </w:pPr>
    </w:p>
    <w:p w14:paraId="5F77484F" w14:textId="77777777" w:rsidR="00907EC3" w:rsidRDefault="00D26343">
      <w:pPr>
        <w:spacing w:after="0" w:line="276" w:lineRule="auto"/>
        <w:jc w:val="right"/>
      </w:pPr>
      <w:r>
        <w:rPr>
          <w:sz w:val="24"/>
          <w:szCs w:val="24"/>
        </w:rPr>
        <w:t xml:space="preserve"> </w:t>
      </w:r>
      <w:r>
        <w:rPr>
          <w:sz w:val="20"/>
          <w:szCs w:val="20"/>
          <w:shd w:val="clear" w:color="auto" w:fill="FFFFFF"/>
        </w:rPr>
        <w:t>Kontakt dla mediów:</w:t>
      </w:r>
    </w:p>
    <w:p w14:paraId="7E1DD95C" w14:textId="77777777" w:rsidR="00907EC3" w:rsidRDefault="00D26343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5A289661" w14:textId="77777777" w:rsidR="00907EC3" w:rsidRDefault="00D26343">
      <w:pPr>
        <w:spacing w:after="0"/>
        <w:jc w:val="right"/>
      </w:pPr>
      <w:r>
        <w:rPr>
          <w:sz w:val="20"/>
          <w:szCs w:val="20"/>
        </w:rPr>
        <w:t>e-mail:</w:t>
      </w:r>
      <w:r>
        <w:t xml:space="preserve"> </w:t>
      </w:r>
      <w:hyperlink r:id="rId9" w:history="1">
        <w:r>
          <w:rPr>
            <w:rStyle w:val="Hipercze"/>
            <w:color w:val="auto"/>
            <w:sz w:val="20"/>
            <w:szCs w:val="20"/>
          </w:rPr>
          <w:t>joanna.kuciel@goodonepr.pl</w:t>
        </w:r>
      </w:hyperlink>
    </w:p>
    <w:p w14:paraId="621E0019" w14:textId="77777777" w:rsidR="00907EC3" w:rsidRDefault="00D26343">
      <w:pPr>
        <w:spacing w:after="0" w:line="276" w:lineRule="auto"/>
        <w:jc w:val="right"/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shd w:val="clear" w:color="auto" w:fill="FFFFFF"/>
        </w:rPr>
        <w:t>+48</w:t>
      </w:r>
      <w:r>
        <w:rPr>
          <w:b/>
          <w:sz w:val="20"/>
          <w:szCs w:val="20"/>
          <w:shd w:val="clear" w:color="auto" w:fill="FFFFFF"/>
        </w:rPr>
        <w:t> </w:t>
      </w:r>
      <w:r>
        <w:rPr>
          <w:sz w:val="20"/>
          <w:szCs w:val="20"/>
          <w:shd w:val="clear" w:color="auto" w:fill="FFFFFF"/>
        </w:rPr>
        <w:t>796 996 272</w:t>
      </w:r>
    </w:p>
    <w:sectPr w:rsidR="00907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BBF7" w14:textId="77777777" w:rsidR="00B61776" w:rsidRDefault="00B61776">
      <w:pPr>
        <w:spacing w:after="0" w:line="240" w:lineRule="auto"/>
      </w:pPr>
      <w:r>
        <w:separator/>
      </w:r>
    </w:p>
  </w:endnote>
  <w:endnote w:type="continuationSeparator" w:id="0">
    <w:p w14:paraId="75BD0396" w14:textId="77777777" w:rsidR="00B61776" w:rsidRDefault="00B6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631C" w14:textId="77777777" w:rsidR="0080588E" w:rsidRDefault="00805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7395" w14:textId="77777777" w:rsidR="0080588E" w:rsidRDefault="008058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FAFE" w14:textId="77777777" w:rsidR="0080588E" w:rsidRDefault="00805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2DD5" w14:textId="77777777" w:rsidR="00B61776" w:rsidRDefault="00B617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2C14B8" w14:textId="77777777" w:rsidR="00B61776" w:rsidRDefault="00B61776">
      <w:pPr>
        <w:spacing w:after="0" w:line="240" w:lineRule="auto"/>
      </w:pPr>
      <w:r>
        <w:continuationSeparator/>
      </w:r>
    </w:p>
  </w:footnote>
  <w:footnote w:id="1">
    <w:p w14:paraId="6ADD7E1F" w14:textId="1A4C6163" w:rsidR="005A2C07" w:rsidRPr="00ED66C7" w:rsidRDefault="005A2C0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D66C7">
        <w:rPr>
          <w:lang w:val="en-US"/>
        </w:rPr>
        <w:t xml:space="preserve"> </w:t>
      </w:r>
      <w:r w:rsidR="00D17A12" w:rsidRPr="00ED66C7">
        <w:rPr>
          <w:lang w:val="en-US"/>
        </w:rPr>
        <w:t>World Nuclear Association, IAEA, World Nuclear News, Science Direct</w:t>
      </w:r>
    </w:p>
  </w:footnote>
  <w:footnote w:id="2">
    <w:p w14:paraId="77D6529F" w14:textId="0E13A2A6" w:rsidR="005A2C07" w:rsidRPr="00ED66C7" w:rsidRDefault="005A2C0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D66C7">
        <w:rPr>
          <w:lang w:val="en-US"/>
        </w:rPr>
        <w:t xml:space="preserve"> </w:t>
      </w:r>
      <w:r w:rsidR="006E36AB" w:rsidRPr="00ED66C7">
        <w:rPr>
          <w:lang w:val="en-US"/>
        </w:rPr>
        <w:t>Idaho National Lab, Cleantech Group, SustainableViews</w:t>
      </w:r>
    </w:p>
  </w:footnote>
  <w:footnote w:id="3">
    <w:p w14:paraId="6A7FC27A" w14:textId="6C2737C5" w:rsidR="005A2C07" w:rsidRDefault="005A2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685177" w:rsidRPr="00037053">
          <w:rPr>
            <w:rStyle w:val="Hipercze"/>
          </w:rPr>
          <w:t>https://idrawater.org/</w:t>
        </w:r>
      </w:hyperlink>
      <w:r w:rsidR="0068517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0C64" w14:textId="77777777" w:rsidR="0080588E" w:rsidRDefault="008058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D7BE" w14:textId="77777777" w:rsidR="00D160DD" w:rsidRDefault="00D26343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4F87BE7" wp14:editId="2BB62735">
          <wp:simplePos x="0" y="0"/>
          <wp:positionH relativeFrom="column">
            <wp:posOffset>4481831</wp:posOffset>
          </wp:positionH>
          <wp:positionV relativeFrom="paragraph">
            <wp:posOffset>-118113</wp:posOffset>
          </wp:positionV>
          <wp:extent cx="1457325" cy="387623"/>
          <wp:effectExtent l="0" t="0" r="9525" b="0"/>
          <wp:wrapNone/>
          <wp:docPr id="126263004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3876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3FF5D3A" w14:textId="77777777" w:rsidR="00D160DD" w:rsidRDefault="00D160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3E74" w14:textId="77777777" w:rsidR="0080588E" w:rsidRDefault="008058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C3"/>
    <w:rsid w:val="00010A18"/>
    <w:rsid w:val="00011093"/>
    <w:rsid w:val="00011B3A"/>
    <w:rsid w:val="000179C1"/>
    <w:rsid w:val="00027D0C"/>
    <w:rsid w:val="00027FB6"/>
    <w:rsid w:val="000346E7"/>
    <w:rsid w:val="00042836"/>
    <w:rsid w:val="00043A69"/>
    <w:rsid w:val="00050865"/>
    <w:rsid w:val="00082417"/>
    <w:rsid w:val="000E7E64"/>
    <w:rsid w:val="000F317E"/>
    <w:rsid w:val="000F55F5"/>
    <w:rsid w:val="00102C82"/>
    <w:rsid w:val="0010442D"/>
    <w:rsid w:val="00117E0F"/>
    <w:rsid w:val="00137317"/>
    <w:rsid w:val="00147F25"/>
    <w:rsid w:val="00157792"/>
    <w:rsid w:val="00162E25"/>
    <w:rsid w:val="001B1F99"/>
    <w:rsid w:val="001C6D2F"/>
    <w:rsid w:val="001E7E92"/>
    <w:rsid w:val="001F0FB1"/>
    <w:rsid w:val="0020287C"/>
    <w:rsid w:val="002046B7"/>
    <w:rsid w:val="00214B84"/>
    <w:rsid w:val="002445B2"/>
    <w:rsid w:val="002467FC"/>
    <w:rsid w:val="00253B8F"/>
    <w:rsid w:val="00272AB3"/>
    <w:rsid w:val="0029663A"/>
    <w:rsid w:val="002C3A5D"/>
    <w:rsid w:val="002D23D0"/>
    <w:rsid w:val="002D2CDE"/>
    <w:rsid w:val="0030149E"/>
    <w:rsid w:val="00334A31"/>
    <w:rsid w:val="003411E1"/>
    <w:rsid w:val="003432C4"/>
    <w:rsid w:val="00352A26"/>
    <w:rsid w:val="0035347B"/>
    <w:rsid w:val="0035526F"/>
    <w:rsid w:val="00362BB6"/>
    <w:rsid w:val="00365BFF"/>
    <w:rsid w:val="003660C1"/>
    <w:rsid w:val="00380483"/>
    <w:rsid w:val="003E45F0"/>
    <w:rsid w:val="003F56C8"/>
    <w:rsid w:val="00424A20"/>
    <w:rsid w:val="004620D7"/>
    <w:rsid w:val="004661F7"/>
    <w:rsid w:val="004675D0"/>
    <w:rsid w:val="004B15C5"/>
    <w:rsid w:val="004B3645"/>
    <w:rsid w:val="004B43C5"/>
    <w:rsid w:val="004E3A44"/>
    <w:rsid w:val="004E5583"/>
    <w:rsid w:val="00502C88"/>
    <w:rsid w:val="005227E9"/>
    <w:rsid w:val="00533C27"/>
    <w:rsid w:val="00537048"/>
    <w:rsid w:val="0054682C"/>
    <w:rsid w:val="00555A8A"/>
    <w:rsid w:val="005A2C07"/>
    <w:rsid w:val="005B1DA8"/>
    <w:rsid w:val="005E3105"/>
    <w:rsid w:val="00632167"/>
    <w:rsid w:val="006377F6"/>
    <w:rsid w:val="0064654C"/>
    <w:rsid w:val="0065008E"/>
    <w:rsid w:val="00677402"/>
    <w:rsid w:val="0068341C"/>
    <w:rsid w:val="00685177"/>
    <w:rsid w:val="006935ED"/>
    <w:rsid w:val="0069549E"/>
    <w:rsid w:val="006E36AB"/>
    <w:rsid w:val="006F0807"/>
    <w:rsid w:val="007777A6"/>
    <w:rsid w:val="007858F4"/>
    <w:rsid w:val="007A2D5E"/>
    <w:rsid w:val="007D762F"/>
    <w:rsid w:val="00803BFA"/>
    <w:rsid w:val="0080588E"/>
    <w:rsid w:val="00823F48"/>
    <w:rsid w:val="00850040"/>
    <w:rsid w:val="00876675"/>
    <w:rsid w:val="008E4237"/>
    <w:rsid w:val="008F23B3"/>
    <w:rsid w:val="00901EB1"/>
    <w:rsid w:val="00907EC3"/>
    <w:rsid w:val="009619B7"/>
    <w:rsid w:val="00966379"/>
    <w:rsid w:val="009A76A3"/>
    <w:rsid w:val="009B0E8B"/>
    <w:rsid w:val="009B2F50"/>
    <w:rsid w:val="009C1645"/>
    <w:rsid w:val="009D65E7"/>
    <w:rsid w:val="009F2864"/>
    <w:rsid w:val="00A12512"/>
    <w:rsid w:val="00A228B1"/>
    <w:rsid w:val="00A45396"/>
    <w:rsid w:val="00A46057"/>
    <w:rsid w:val="00A46350"/>
    <w:rsid w:val="00A628EB"/>
    <w:rsid w:val="00AA1BBC"/>
    <w:rsid w:val="00AE0C6F"/>
    <w:rsid w:val="00B05BF7"/>
    <w:rsid w:val="00B33C39"/>
    <w:rsid w:val="00B61776"/>
    <w:rsid w:val="00B71A9A"/>
    <w:rsid w:val="00B76519"/>
    <w:rsid w:val="00BB0B7C"/>
    <w:rsid w:val="00BC0563"/>
    <w:rsid w:val="00BE4779"/>
    <w:rsid w:val="00BF2DCD"/>
    <w:rsid w:val="00BF3D71"/>
    <w:rsid w:val="00C029CF"/>
    <w:rsid w:val="00C22874"/>
    <w:rsid w:val="00C34F6F"/>
    <w:rsid w:val="00C463BE"/>
    <w:rsid w:val="00C5583B"/>
    <w:rsid w:val="00CD2430"/>
    <w:rsid w:val="00CD332D"/>
    <w:rsid w:val="00D11E89"/>
    <w:rsid w:val="00D160DD"/>
    <w:rsid w:val="00D17A12"/>
    <w:rsid w:val="00D26343"/>
    <w:rsid w:val="00D450E4"/>
    <w:rsid w:val="00D64732"/>
    <w:rsid w:val="00D735B1"/>
    <w:rsid w:val="00D8078A"/>
    <w:rsid w:val="00D85EFF"/>
    <w:rsid w:val="00D928E7"/>
    <w:rsid w:val="00DA1560"/>
    <w:rsid w:val="00DA5352"/>
    <w:rsid w:val="00DA5A4F"/>
    <w:rsid w:val="00DF739D"/>
    <w:rsid w:val="00E17874"/>
    <w:rsid w:val="00E226D4"/>
    <w:rsid w:val="00E60E3E"/>
    <w:rsid w:val="00EA7743"/>
    <w:rsid w:val="00EB77ED"/>
    <w:rsid w:val="00EB7A1D"/>
    <w:rsid w:val="00ED66C7"/>
    <w:rsid w:val="00F0251B"/>
    <w:rsid w:val="00F174C7"/>
    <w:rsid w:val="00F1758F"/>
    <w:rsid w:val="00F43FA8"/>
    <w:rsid w:val="00F845BA"/>
    <w:rsid w:val="00FC7F80"/>
    <w:rsid w:val="00FD2F63"/>
    <w:rsid w:val="17E6AA83"/>
    <w:rsid w:val="187D1E27"/>
    <w:rsid w:val="35B127E3"/>
    <w:rsid w:val="50F4C7C4"/>
    <w:rsid w:val="7895F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AB089"/>
  <w15:docId w15:val="{A62CC061-5361-4509-B5AB-B78F1CE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hwtze">
    <w:name w:val="hwtze"/>
    <w:basedOn w:val="Domylnaczcionkaakapitu"/>
  </w:style>
  <w:style w:type="character" w:customStyle="1" w:styleId="rynqvb">
    <w:name w:val="rynqvb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3731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up.com/about-u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anna.kuciel@goodonepr.pl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drawater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2</cp:revision>
  <dcterms:created xsi:type="dcterms:W3CDTF">2025-06-17T07:30:00Z</dcterms:created>
  <dcterms:modified xsi:type="dcterms:W3CDTF">2025-06-17T07:30:00Z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