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7BC060" w14:textId="54C5B9E1" w:rsidR="00ED3B21" w:rsidRPr="00AD65DF" w:rsidRDefault="00AD65DF" w:rsidP="00536A74">
      <w:pPr>
        <w:pStyle w:val="Intitul"/>
        <w:rPr>
          <w:rFonts w:ascii="Calibri" w:hAnsi="Calibri" w:cs="Calibri"/>
          <w:lang w:val="en-GB"/>
        </w:rPr>
      </w:pPr>
      <w:proofErr w:type="spellStart"/>
      <w:r>
        <w:rPr>
          <w:rFonts w:ascii="Calibri" w:hAnsi="Calibri" w:cs="Calibri"/>
          <w:lang w:val="en-GB"/>
        </w:rPr>
        <w:t>Informacja</w:t>
      </w:r>
      <w:proofErr w:type="spellEnd"/>
      <w:r>
        <w:rPr>
          <w:rFonts w:ascii="Calibri" w:hAnsi="Calibri" w:cs="Calibri"/>
          <w:lang w:val="en-GB"/>
        </w:rPr>
        <w:t xml:space="preserve"> </w:t>
      </w:r>
      <w:proofErr w:type="spellStart"/>
      <w:r>
        <w:rPr>
          <w:rFonts w:ascii="Calibri" w:hAnsi="Calibri" w:cs="Calibri"/>
          <w:lang w:val="en-GB"/>
        </w:rPr>
        <w:t>prasowa</w:t>
      </w:r>
      <w:proofErr w:type="spellEnd"/>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04"/>
      </w:tblGrid>
      <w:tr w:rsidR="008C0B76" w:rsidRPr="00AD65DF" w14:paraId="021E532E" w14:textId="77777777" w:rsidTr="00F47D26">
        <w:trPr>
          <w:trHeight w:hRule="exact" w:val="300"/>
        </w:trPr>
        <w:tc>
          <w:tcPr>
            <w:tcW w:w="8504" w:type="dxa"/>
          </w:tcPr>
          <w:p w14:paraId="61C5F394" w14:textId="747D4DE6" w:rsidR="008C0B76" w:rsidRPr="00AD65DF" w:rsidRDefault="00C62599" w:rsidP="00AD65DF">
            <w:pPr>
              <w:pStyle w:val="Intitul"/>
              <w:rPr>
                <w:rFonts w:ascii="Calibri" w:hAnsi="Calibri" w:cs="Calibri"/>
                <w:lang w:val="en-GB"/>
              </w:rPr>
            </w:pPr>
            <w:r>
              <w:rPr>
                <w:rFonts w:ascii="Calibri" w:hAnsi="Calibri" w:cs="Calibri"/>
                <w:lang w:val="en-GB"/>
              </w:rPr>
              <w:t>10</w:t>
            </w:r>
            <w:r w:rsidR="004956A3" w:rsidRPr="00AD65DF">
              <w:rPr>
                <w:rFonts w:ascii="Calibri" w:hAnsi="Calibri" w:cs="Calibri"/>
                <w:lang w:val="en-GB"/>
              </w:rPr>
              <w:t xml:space="preserve"> </w:t>
            </w:r>
            <w:r w:rsidR="00AD65DF" w:rsidRPr="00AD65DF">
              <w:rPr>
                <w:rFonts w:ascii="Calibri" w:hAnsi="Calibri" w:cs="Calibri"/>
                <w:lang w:val="en-GB"/>
              </w:rPr>
              <w:t>0</w:t>
            </w:r>
            <w:r w:rsidR="00CD3666">
              <w:rPr>
                <w:rFonts w:ascii="Calibri" w:hAnsi="Calibri" w:cs="Calibri"/>
                <w:lang w:val="en-GB"/>
              </w:rPr>
              <w:t>6</w:t>
            </w:r>
            <w:r w:rsidR="008D139F" w:rsidRPr="00AD65DF">
              <w:rPr>
                <w:rFonts w:ascii="Calibri" w:hAnsi="Calibri" w:cs="Calibri"/>
                <w:lang w:val="en-GB"/>
              </w:rPr>
              <w:t xml:space="preserve"> 202</w:t>
            </w:r>
            <w:r w:rsidR="00AD65DF" w:rsidRPr="00AD65DF">
              <w:rPr>
                <w:rFonts w:ascii="Calibri" w:hAnsi="Calibri" w:cs="Calibri"/>
                <w:lang w:val="en-GB"/>
              </w:rPr>
              <w:t>5</w:t>
            </w:r>
          </w:p>
        </w:tc>
      </w:tr>
      <w:tr w:rsidR="008C0B76" w:rsidRPr="00AD65DF" w14:paraId="5314EEE8" w14:textId="77777777" w:rsidTr="00F47D26">
        <w:trPr>
          <w:trHeight w:hRule="exact" w:val="851"/>
        </w:trPr>
        <w:tc>
          <w:tcPr>
            <w:tcW w:w="8504" w:type="dxa"/>
          </w:tcPr>
          <w:p w14:paraId="6069BA17" w14:textId="77777777" w:rsidR="008C0B76" w:rsidRPr="00AD65DF" w:rsidRDefault="008C0B76" w:rsidP="008C0B76">
            <w:pPr>
              <w:jc w:val="right"/>
              <w:rPr>
                <w:rFonts w:ascii="Calibri" w:hAnsi="Calibri" w:cs="Calibri"/>
                <w:color w:val="auto"/>
                <w:sz w:val="28"/>
                <w:szCs w:val="28"/>
                <w:lang w:val="en-GB"/>
              </w:rPr>
            </w:pPr>
          </w:p>
        </w:tc>
      </w:tr>
    </w:tbl>
    <w:p w14:paraId="1E651526" w14:textId="19F5F8B0" w:rsidR="00D52947" w:rsidRPr="00AD65DF" w:rsidRDefault="00AD65DF" w:rsidP="00AD65DF">
      <w:pPr>
        <w:jc w:val="center"/>
        <w:rPr>
          <w:rFonts w:ascii="Calibri" w:eastAsiaTheme="majorEastAsia" w:hAnsi="Calibri" w:cs="Calibri"/>
          <w:b/>
          <w:bCs/>
          <w:color w:val="00AAFF" w:themeColor="accent2"/>
          <w:sz w:val="36"/>
          <w:szCs w:val="36"/>
          <w:lang w:val="pl-PL"/>
        </w:rPr>
      </w:pPr>
      <w:r w:rsidRPr="00AD65DF">
        <w:rPr>
          <w:rFonts w:ascii="Calibri" w:eastAsiaTheme="majorEastAsia" w:hAnsi="Calibri" w:cs="Calibri"/>
          <w:b/>
          <w:bCs/>
          <w:color w:val="00AAFF" w:themeColor="accent2"/>
          <w:sz w:val="36"/>
          <w:szCs w:val="36"/>
          <w:lang w:val="pl-PL"/>
        </w:rPr>
        <w:t xml:space="preserve"> </w:t>
      </w:r>
      <w:r w:rsidR="00D40C6C">
        <w:rPr>
          <w:rFonts w:ascii="Calibri" w:eastAsiaTheme="majorEastAsia" w:hAnsi="Calibri" w:cs="Calibri"/>
          <w:b/>
          <w:bCs/>
          <w:color w:val="00AAFF" w:themeColor="accent2"/>
          <w:sz w:val="36"/>
          <w:szCs w:val="36"/>
          <w:lang w:val="pl-PL"/>
        </w:rPr>
        <w:t xml:space="preserve">Rozwój </w:t>
      </w:r>
      <w:r w:rsidRPr="00AD65DF">
        <w:rPr>
          <w:rFonts w:ascii="Calibri" w:eastAsiaTheme="majorEastAsia" w:hAnsi="Calibri" w:cs="Calibri"/>
          <w:b/>
          <w:bCs/>
          <w:color w:val="00AAFF" w:themeColor="accent2"/>
          <w:sz w:val="36"/>
          <w:szCs w:val="36"/>
          <w:lang w:val="pl-PL"/>
        </w:rPr>
        <w:t>OZE kluczem do niższych cen</w:t>
      </w:r>
      <w:r w:rsidR="00040390">
        <w:rPr>
          <w:rFonts w:ascii="Calibri" w:eastAsiaTheme="majorEastAsia" w:hAnsi="Calibri" w:cs="Calibri"/>
          <w:b/>
          <w:bCs/>
          <w:color w:val="00AAFF" w:themeColor="accent2"/>
          <w:sz w:val="36"/>
          <w:szCs w:val="36"/>
          <w:lang w:val="pl-PL"/>
        </w:rPr>
        <w:t xml:space="preserve"> energii</w:t>
      </w:r>
    </w:p>
    <w:p w14:paraId="6A6B7164" w14:textId="77777777" w:rsidR="00AD65DF" w:rsidRPr="00AD65DF" w:rsidRDefault="00AD65DF" w:rsidP="00D52947">
      <w:pPr>
        <w:rPr>
          <w:rFonts w:asciiTheme="majorHAnsi" w:eastAsiaTheme="majorEastAsia" w:hAnsiTheme="majorHAnsi" w:cstheme="majorBidi"/>
          <w:bCs/>
          <w:color w:val="00AAFF" w:themeColor="accent2"/>
          <w:sz w:val="28"/>
          <w:szCs w:val="36"/>
          <w:lang w:val="pl-PL"/>
        </w:rPr>
      </w:pPr>
    </w:p>
    <w:p w14:paraId="3ED66064" w14:textId="77777777" w:rsidR="00C62599" w:rsidRDefault="00C62599" w:rsidP="007C56CB">
      <w:pPr>
        <w:spacing w:before="240" w:after="240" w:line="240" w:lineRule="auto"/>
        <w:jc w:val="both"/>
        <w:rPr>
          <w:rFonts w:ascii="Calibri" w:eastAsia="Times New Roman" w:hAnsi="Calibri" w:cs="Calibri"/>
          <w:b/>
          <w:bCs/>
          <w:color w:val="auto"/>
          <w:sz w:val="22"/>
          <w:lang w:eastAsia="pl-PL"/>
        </w:rPr>
      </w:pPr>
      <w:r w:rsidRPr="00C62599">
        <w:rPr>
          <w:rFonts w:ascii="Calibri" w:eastAsia="Times New Roman" w:hAnsi="Calibri" w:cs="Calibri"/>
          <w:b/>
          <w:bCs/>
          <w:color w:val="auto"/>
          <w:sz w:val="22"/>
          <w:lang w:eastAsia="pl-PL"/>
        </w:rPr>
        <w:t>W czasie, gdy w Sejmie ważą się losy przyszłości lądowej energetyki wiatrowej, firmy oraz konsumenci ponoszą coraz większe koszty wynikające z przedłużającej się niepewności wobszarze OZE. Z analiz Polskiego Stowarzyszenia Energetyki Wiatrowej (PSEW) wynika, żekażdy dodatkowy 1 GW mocy zainstalowanej w lądowych farmach wiatrowych może obniżyć hurtową cenę energii elektrycznej o 9 zł/MWh. Dla przeciętnego odbiorcy przemysłowego oznaczałoby to roczne oszczędności sięgające kilkuset tysięcy złotych. Na niższych cenach energii zyskaliby jednak nie tylko przedsiębiorcy, lecz także gospodarstwa domowe i jednostki samorządu terytorialnego, dla których stabilne ceny energii to większa przewidywalność i bezpieczeństwo budżetowe.</w:t>
      </w:r>
    </w:p>
    <w:p w14:paraId="6D2D1ECE" w14:textId="54D65DB9" w:rsidR="007C56CB" w:rsidRPr="007C56CB" w:rsidRDefault="007C56CB" w:rsidP="007C56CB">
      <w:pPr>
        <w:spacing w:before="240" w:after="240" w:line="240" w:lineRule="auto"/>
        <w:jc w:val="both"/>
        <w:rPr>
          <w:rFonts w:ascii="Calibri" w:eastAsia="Times New Roman" w:hAnsi="Calibri" w:cs="Calibri"/>
          <w:color w:val="auto"/>
          <w:sz w:val="22"/>
          <w:lang w:val="pl-PL" w:eastAsia="pl-PL"/>
        </w:rPr>
      </w:pPr>
      <w:bookmarkStart w:id="0" w:name="_GoBack"/>
      <w:bookmarkEnd w:id="0"/>
      <w:r w:rsidRPr="007C56CB">
        <w:rPr>
          <w:rFonts w:ascii="Calibri" w:eastAsia="Times New Roman" w:hAnsi="Calibri" w:cs="Calibri"/>
          <w:color w:val="auto"/>
          <w:sz w:val="22"/>
          <w:lang w:val="pl-PL" w:eastAsia="pl-PL"/>
        </w:rPr>
        <w:t xml:space="preserve">Polska energetyka stoi dziś przed wyborem – przyspieszyć proces transformacji czy dalej funkcjonować w warunkach regulacyjnej niepewności. Kluczową barierą rozwoju lądowej energetyki wiatrowej przez lata pozostawała tzw. zasada 10H – przepisy obowiązujące od 2016 roku, które nakazywały lokalizowanie turbin w odległości co najmniej dziesięciokrotności ich wysokości od zabudowań mieszkalnych i niektórych form ochrony przyrody. W praktyce oznaczało to, że przy typowej wysokości turbiny rzędu 150 metrów, odległość od najbliższej zabudowy czy parku krajobrazowego musiała wynosić co najmniej 1,5 kilometra. W efekcie wykluczało to większość obszaru kraju z nowych inwestycji, skutecznie blokując rozwój tego segmentu OZE. W marcu 2023 roku przepisy zostały zliberalizowane – obecnie możliwa jest lokalizacja turbin w odległości nie mniejszej </w:t>
      </w:r>
      <w:r w:rsidRPr="000A687D">
        <w:rPr>
          <w:rFonts w:ascii="Calibri" w:eastAsia="Times New Roman" w:hAnsi="Calibri" w:cs="Calibri"/>
          <w:color w:val="auto"/>
          <w:sz w:val="22"/>
          <w:lang w:val="pl-PL" w:eastAsia="pl-PL"/>
        </w:rPr>
        <w:t xml:space="preserve">niż </w:t>
      </w:r>
      <w:r w:rsidR="006826C1" w:rsidRPr="000A687D">
        <w:rPr>
          <w:rFonts w:ascii="Calibri" w:eastAsia="Times New Roman" w:hAnsi="Calibri" w:cs="Calibri"/>
          <w:color w:val="auto"/>
          <w:sz w:val="22"/>
          <w:lang w:val="pl-PL" w:eastAsia="pl-PL"/>
        </w:rPr>
        <w:t xml:space="preserve">700 </w:t>
      </w:r>
      <w:r w:rsidRPr="000A687D">
        <w:rPr>
          <w:rFonts w:ascii="Calibri" w:eastAsia="Times New Roman" w:hAnsi="Calibri" w:cs="Calibri"/>
          <w:color w:val="auto"/>
          <w:sz w:val="22"/>
          <w:lang w:val="pl-PL" w:eastAsia="pl-PL"/>
        </w:rPr>
        <w:t>metrów,</w:t>
      </w:r>
      <w:r w:rsidRPr="007C56CB">
        <w:rPr>
          <w:rFonts w:ascii="Calibri" w:eastAsia="Times New Roman" w:hAnsi="Calibri" w:cs="Calibri"/>
          <w:color w:val="auto"/>
          <w:sz w:val="22"/>
          <w:lang w:val="pl-PL" w:eastAsia="pl-PL"/>
        </w:rPr>
        <w:t xml:space="preserve"> przy spełnieniu określonych kryteriów. Jak wynika z analizy PSEW, zaniechanie rozwoju lądowej energetyki wiatrowej mogłoby kosztować Polskę nawet 63 miliardy złotych do 2030 roku. Wśród potencjalnych skutków wymienia się nie tylko wyższe ceny energii, ale również wzrost zależności od importu surowców energetycznych oraz zmniejszenie wpływów do budżetów gmin.</w:t>
      </w:r>
    </w:p>
    <w:p w14:paraId="7703BB4B" w14:textId="77777777" w:rsidR="007C56CB" w:rsidRPr="007C56CB" w:rsidRDefault="007C56CB" w:rsidP="007C56CB">
      <w:pPr>
        <w:spacing w:before="240" w:after="240" w:line="240" w:lineRule="auto"/>
        <w:jc w:val="both"/>
        <w:rPr>
          <w:rFonts w:ascii="Calibri" w:eastAsia="Times New Roman" w:hAnsi="Calibri" w:cs="Calibri"/>
          <w:b/>
          <w:color w:val="auto"/>
          <w:sz w:val="22"/>
          <w:lang w:val="pl-PL" w:eastAsia="pl-PL"/>
        </w:rPr>
      </w:pPr>
      <w:r w:rsidRPr="007C56CB">
        <w:rPr>
          <w:rFonts w:ascii="Calibri" w:eastAsia="Times New Roman" w:hAnsi="Calibri" w:cs="Calibri"/>
          <w:b/>
          <w:color w:val="auto"/>
          <w:sz w:val="22"/>
          <w:lang w:val="pl-PL" w:eastAsia="pl-PL"/>
        </w:rPr>
        <w:t>Warunki rynkowe a decyzje przedsiębiorstw</w:t>
      </w:r>
    </w:p>
    <w:p w14:paraId="44F9BDE3" w14:textId="4804CB6C" w:rsidR="007C56CB" w:rsidRPr="007C56CB" w:rsidRDefault="007C56CB" w:rsidP="007C56CB">
      <w:pPr>
        <w:spacing w:before="240" w:after="240" w:line="240" w:lineRule="auto"/>
        <w:jc w:val="both"/>
        <w:rPr>
          <w:rFonts w:ascii="Calibri" w:eastAsia="Times New Roman" w:hAnsi="Calibri" w:cs="Calibri"/>
          <w:color w:val="auto"/>
          <w:sz w:val="22"/>
          <w:lang w:val="pl-PL" w:eastAsia="pl-PL"/>
        </w:rPr>
      </w:pPr>
      <w:r w:rsidRPr="007C56CB">
        <w:rPr>
          <w:rFonts w:ascii="Calibri" w:eastAsia="Times New Roman" w:hAnsi="Calibri" w:cs="Calibri"/>
          <w:color w:val="auto"/>
          <w:sz w:val="22"/>
          <w:lang w:val="pl-PL" w:eastAsia="pl-PL"/>
        </w:rPr>
        <w:t xml:space="preserve">Z perspektywy sektora przemysłowego, rosnące ceny energii elektrycznej, koszty związane z systemem EU ETS oraz obowiązek uwzględniania zielonych certyfikatów w strukturze energii </w:t>
      </w:r>
      <w:r w:rsidR="0081683F">
        <w:rPr>
          <w:rFonts w:ascii="Calibri" w:eastAsia="Times New Roman" w:hAnsi="Calibri" w:cs="Calibri"/>
          <w:color w:val="auto"/>
          <w:sz w:val="22"/>
          <w:lang w:val="pl-PL" w:eastAsia="pl-PL"/>
        </w:rPr>
        <w:t>elektrycznej do odbiorców końcowych</w:t>
      </w:r>
      <w:r w:rsidR="0081683F" w:rsidRPr="007C56CB">
        <w:rPr>
          <w:rFonts w:ascii="Calibri" w:eastAsia="Times New Roman" w:hAnsi="Calibri" w:cs="Calibri"/>
          <w:color w:val="auto"/>
          <w:sz w:val="22"/>
          <w:lang w:val="pl-PL" w:eastAsia="pl-PL"/>
        </w:rPr>
        <w:t xml:space="preserve"> </w:t>
      </w:r>
      <w:r w:rsidRPr="007C56CB">
        <w:rPr>
          <w:rFonts w:ascii="Calibri" w:eastAsia="Times New Roman" w:hAnsi="Calibri" w:cs="Calibri"/>
          <w:color w:val="auto"/>
          <w:sz w:val="22"/>
          <w:lang w:val="pl-PL" w:eastAsia="pl-PL"/>
        </w:rPr>
        <w:t>stają się istotnym impulsem do zmiany podejścia do polityki zakupowej. Coraz więcej przedsiębiorstw – zarówno dużych, jak i średnich – traktuje zabezpieczenie dostaw energii z odnawialnych źródeł jako strategiczny element stabilizacji kosztów operacyjnych oraz min</w:t>
      </w:r>
      <w:r>
        <w:rPr>
          <w:rFonts w:ascii="Calibri" w:eastAsia="Times New Roman" w:hAnsi="Calibri" w:cs="Calibri"/>
          <w:color w:val="auto"/>
          <w:sz w:val="22"/>
          <w:lang w:val="pl-PL" w:eastAsia="pl-PL"/>
        </w:rPr>
        <w:t>imalizacji ryzyka regulacyjnego.</w:t>
      </w:r>
    </w:p>
    <w:p w14:paraId="4143AD2F" w14:textId="0153AC87" w:rsidR="00B15DE2" w:rsidRDefault="007C56CB" w:rsidP="007C56CB">
      <w:pPr>
        <w:spacing w:before="240" w:after="240" w:line="240" w:lineRule="auto"/>
        <w:jc w:val="both"/>
        <w:rPr>
          <w:rFonts w:ascii="Calibri" w:eastAsia="Times New Roman" w:hAnsi="Calibri" w:cs="Calibri"/>
          <w:color w:val="auto"/>
          <w:sz w:val="22"/>
          <w:lang w:val="pl-PL" w:eastAsia="pl-PL"/>
        </w:rPr>
      </w:pPr>
      <w:r w:rsidRPr="007C56CB">
        <w:rPr>
          <w:rFonts w:ascii="Calibri" w:eastAsia="Times New Roman" w:hAnsi="Calibri" w:cs="Calibri"/>
          <w:color w:val="auto"/>
          <w:sz w:val="22"/>
          <w:lang w:val="pl-PL" w:eastAsia="pl-PL"/>
        </w:rPr>
        <w:t>W Polsce funkcjonuje obecnie kilkudziesięciu operatorów źródeł odnawialnych, w tym ENGIE Zielona Energia</w:t>
      </w:r>
      <w:r w:rsidR="007760F1">
        <w:rPr>
          <w:rFonts w:ascii="Calibri" w:eastAsia="Times New Roman" w:hAnsi="Calibri" w:cs="Calibri"/>
          <w:color w:val="auto"/>
          <w:sz w:val="22"/>
          <w:lang w:val="pl-PL" w:eastAsia="pl-PL"/>
        </w:rPr>
        <w:t xml:space="preserve">, </w:t>
      </w:r>
      <w:r w:rsidR="00621525">
        <w:rPr>
          <w:rFonts w:ascii="Calibri" w:eastAsia="Times New Roman" w:hAnsi="Calibri" w:cs="Calibri"/>
          <w:color w:val="auto"/>
          <w:sz w:val="22"/>
          <w:lang w:val="pl-PL" w:eastAsia="pl-PL"/>
        </w:rPr>
        <w:t>stanowiąca część</w:t>
      </w:r>
      <w:r w:rsidR="00A771C4">
        <w:rPr>
          <w:rFonts w:ascii="Calibri" w:eastAsia="Times New Roman" w:hAnsi="Calibri" w:cs="Calibri"/>
          <w:color w:val="auto"/>
          <w:sz w:val="22"/>
          <w:lang w:val="pl-PL" w:eastAsia="pl-PL"/>
        </w:rPr>
        <w:t xml:space="preserve"> międzynarodowej grupy ENGIE </w:t>
      </w:r>
      <w:r w:rsidR="00367CEF">
        <w:rPr>
          <w:rFonts w:ascii="Calibri" w:eastAsia="Times New Roman" w:hAnsi="Calibri" w:cs="Calibri"/>
          <w:color w:val="auto"/>
          <w:sz w:val="22"/>
          <w:lang w:val="pl-PL" w:eastAsia="pl-PL"/>
        </w:rPr>
        <w:t xml:space="preserve">– </w:t>
      </w:r>
      <w:r w:rsidR="00A41B12">
        <w:rPr>
          <w:rFonts w:ascii="Calibri" w:eastAsia="Times New Roman" w:hAnsi="Calibri" w:cs="Calibri"/>
          <w:color w:val="auto"/>
          <w:sz w:val="22"/>
          <w:lang w:val="pl-PL" w:eastAsia="pl-PL"/>
        </w:rPr>
        <w:t xml:space="preserve">działającej w obszarze niskoemisyjnej energii i </w:t>
      </w:r>
      <w:r w:rsidR="00367CEF">
        <w:rPr>
          <w:rFonts w:ascii="Calibri" w:eastAsia="Times New Roman" w:hAnsi="Calibri" w:cs="Calibri"/>
          <w:color w:val="auto"/>
          <w:sz w:val="22"/>
          <w:lang w:val="pl-PL" w:eastAsia="pl-PL"/>
        </w:rPr>
        <w:t>usłu</w:t>
      </w:r>
      <w:r w:rsidR="00A41B12">
        <w:rPr>
          <w:rFonts w:ascii="Calibri" w:eastAsia="Times New Roman" w:hAnsi="Calibri" w:cs="Calibri"/>
          <w:color w:val="auto"/>
          <w:sz w:val="22"/>
          <w:lang w:val="pl-PL" w:eastAsia="pl-PL"/>
        </w:rPr>
        <w:t>g.</w:t>
      </w:r>
      <w:r w:rsidRPr="007C56CB">
        <w:rPr>
          <w:rFonts w:ascii="Calibri" w:eastAsia="Times New Roman" w:hAnsi="Calibri" w:cs="Calibri"/>
          <w:color w:val="auto"/>
          <w:sz w:val="22"/>
          <w:lang w:val="pl-PL" w:eastAsia="pl-PL"/>
        </w:rPr>
        <w:t xml:space="preserve"> </w:t>
      </w:r>
      <w:r w:rsidR="00A41B12">
        <w:rPr>
          <w:rFonts w:ascii="Calibri" w:eastAsia="Times New Roman" w:hAnsi="Calibri" w:cs="Calibri"/>
          <w:color w:val="auto"/>
          <w:sz w:val="22"/>
          <w:lang w:val="pl-PL" w:eastAsia="pl-PL"/>
        </w:rPr>
        <w:t>S</w:t>
      </w:r>
      <w:r w:rsidRPr="007C56CB">
        <w:rPr>
          <w:rFonts w:ascii="Calibri" w:eastAsia="Times New Roman" w:hAnsi="Calibri" w:cs="Calibri"/>
          <w:color w:val="auto"/>
          <w:sz w:val="22"/>
          <w:lang w:val="pl-PL" w:eastAsia="pl-PL"/>
        </w:rPr>
        <w:t xml:space="preserve">półka posiada portfel farm wiatrowych o łącznej mocy 241 MW </w:t>
      </w:r>
      <w:r w:rsidRPr="007C56CB">
        <w:rPr>
          <w:rFonts w:ascii="Calibri" w:eastAsia="Times New Roman" w:hAnsi="Calibri" w:cs="Calibri"/>
          <w:color w:val="auto"/>
          <w:sz w:val="22"/>
          <w:lang w:val="pl-PL" w:eastAsia="pl-PL"/>
        </w:rPr>
        <w:lastRenderedPageBreak/>
        <w:t xml:space="preserve">oraz farm fotowoltaicznych o mocy 121 </w:t>
      </w:r>
      <w:proofErr w:type="spellStart"/>
      <w:r w:rsidRPr="007C56CB">
        <w:rPr>
          <w:rFonts w:ascii="Calibri" w:eastAsia="Times New Roman" w:hAnsi="Calibri" w:cs="Calibri"/>
          <w:color w:val="auto"/>
          <w:sz w:val="22"/>
          <w:lang w:val="pl-PL" w:eastAsia="pl-PL"/>
        </w:rPr>
        <w:t>MWp</w:t>
      </w:r>
      <w:proofErr w:type="spellEnd"/>
      <w:r w:rsidRPr="007C56CB">
        <w:rPr>
          <w:rFonts w:ascii="Calibri" w:eastAsia="Times New Roman" w:hAnsi="Calibri" w:cs="Calibri"/>
          <w:color w:val="auto"/>
          <w:sz w:val="22"/>
          <w:lang w:val="pl-PL" w:eastAsia="pl-PL"/>
        </w:rPr>
        <w:t xml:space="preserve">. Dodatkowo w budowie znajdują się instalacje PV o mocy 7 </w:t>
      </w:r>
      <w:proofErr w:type="spellStart"/>
      <w:r w:rsidRPr="007C56CB">
        <w:rPr>
          <w:rFonts w:ascii="Calibri" w:eastAsia="Times New Roman" w:hAnsi="Calibri" w:cs="Calibri"/>
          <w:color w:val="auto"/>
          <w:sz w:val="22"/>
          <w:lang w:val="pl-PL" w:eastAsia="pl-PL"/>
        </w:rPr>
        <w:t>MWp</w:t>
      </w:r>
      <w:proofErr w:type="spellEnd"/>
      <w:r w:rsidRPr="007C56CB">
        <w:rPr>
          <w:rFonts w:ascii="Calibri" w:eastAsia="Times New Roman" w:hAnsi="Calibri" w:cs="Calibri"/>
          <w:color w:val="auto"/>
          <w:sz w:val="22"/>
          <w:lang w:val="pl-PL" w:eastAsia="pl-PL"/>
        </w:rPr>
        <w:t xml:space="preserve">. </w:t>
      </w:r>
    </w:p>
    <w:p w14:paraId="78D48DFC" w14:textId="787BD267" w:rsidR="007C56CB" w:rsidRPr="007C56CB" w:rsidRDefault="007C56CB" w:rsidP="007C56CB">
      <w:pPr>
        <w:spacing w:before="240" w:after="240" w:line="240" w:lineRule="auto"/>
        <w:jc w:val="both"/>
        <w:rPr>
          <w:rFonts w:ascii="Calibri" w:eastAsia="Times New Roman" w:hAnsi="Calibri" w:cs="Calibri"/>
          <w:color w:val="auto"/>
          <w:sz w:val="22"/>
          <w:lang w:val="pl-PL" w:eastAsia="pl-PL"/>
        </w:rPr>
      </w:pPr>
      <w:r>
        <w:rPr>
          <w:rFonts w:ascii="Calibri" w:eastAsia="Times New Roman" w:hAnsi="Calibri" w:cs="Calibri"/>
          <w:color w:val="auto"/>
          <w:sz w:val="22"/>
          <w:lang w:val="pl-PL" w:eastAsia="pl-PL"/>
        </w:rPr>
        <w:t xml:space="preserve">Jak wskazują eksperci ENGIE, rośnie </w:t>
      </w:r>
      <w:r w:rsidRPr="007C56CB">
        <w:rPr>
          <w:rFonts w:ascii="Calibri" w:eastAsia="Times New Roman" w:hAnsi="Calibri" w:cs="Calibri"/>
          <w:color w:val="auto"/>
          <w:sz w:val="22"/>
          <w:lang w:val="pl-PL" w:eastAsia="pl-PL"/>
        </w:rPr>
        <w:t>zainteresowanie odbiorców przemysłowych el</w:t>
      </w:r>
      <w:r>
        <w:rPr>
          <w:rFonts w:ascii="Calibri" w:eastAsia="Times New Roman" w:hAnsi="Calibri" w:cs="Calibri"/>
          <w:color w:val="auto"/>
          <w:sz w:val="22"/>
          <w:lang w:val="pl-PL" w:eastAsia="pl-PL"/>
        </w:rPr>
        <w:t>astycznymi modelami współpracy.</w:t>
      </w:r>
    </w:p>
    <w:p w14:paraId="7FF8EC90" w14:textId="7D0B3611" w:rsidR="007C56CB" w:rsidRPr="00C62599" w:rsidRDefault="007C56CB" w:rsidP="007C56CB">
      <w:pPr>
        <w:spacing w:before="240" w:after="240" w:line="240" w:lineRule="auto"/>
        <w:jc w:val="both"/>
        <w:rPr>
          <w:rFonts w:ascii="Calibri" w:eastAsia="Times New Roman" w:hAnsi="Calibri" w:cs="Calibri"/>
          <w:i/>
          <w:color w:val="auto"/>
          <w:sz w:val="22"/>
          <w:lang w:val="pl-PL" w:eastAsia="pl-PL"/>
        </w:rPr>
      </w:pPr>
      <w:r w:rsidRPr="007C56CB">
        <w:rPr>
          <w:rFonts w:ascii="Calibri" w:eastAsia="Times New Roman" w:hAnsi="Calibri" w:cs="Calibri"/>
          <w:color w:val="auto"/>
          <w:sz w:val="22"/>
          <w:lang w:val="pl-PL" w:eastAsia="pl-PL"/>
        </w:rPr>
        <w:t xml:space="preserve">– </w:t>
      </w:r>
      <w:r w:rsidRPr="00C62599">
        <w:rPr>
          <w:rFonts w:ascii="Calibri" w:eastAsia="Times New Roman" w:hAnsi="Calibri" w:cs="Calibri"/>
          <w:i/>
          <w:color w:val="auto"/>
          <w:sz w:val="22"/>
          <w:lang w:val="pl-PL" w:eastAsia="pl-PL"/>
        </w:rPr>
        <w:t>W ostatnim czasie obserwujemy wyraźny wzrost zainteresowania krótko</w:t>
      </w:r>
      <w:r w:rsidR="00C3118D" w:rsidRPr="00C62599">
        <w:rPr>
          <w:rFonts w:ascii="Calibri" w:eastAsia="Times New Roman" w:hAnsi="Calibri" w:cs="Calibri"/>
          <w:i/>
          <w:color w:val="auto"/>
          <w:sz w:val="22"/>
          <w:lang w:val="pl-PL" w:eastAsia="pl-PL"/>
        </w:rPr>
        <w:t>- i średnio</w:t>
      </w:r>
      <w:r w:rsidRPr="00C62599">
        <w:rPr>
          <w:rFonts w:ascii="Calibri" w:eastAsia="Times New Roman" w:hAnsi="Calibri" w:cs="Calibri"/>
          <w:i/>
          <w:color w:val="auto"/>
          <w:sz w:val="22"/>
          <w:lang w:val="pl-PL" w:eastAsia="pl-PL"/>
        </w:rPr>
        <w:t>terminowymi kontraktami typu PPA, szczególnie wśród przedstawicieli przemysłu energochłonnego</w:t>
      </w:r>
      <w:r w:rsidRPr="007C56CB">
        <w:rPr>
          <w:rFonts w:ascii="Calibri" w:eastAsia="Times New Roman" w:hAnsi="Calibri" w:cs="Calibri"/>
          <w:color w:val="auto"/>
          <w:sz w:val="22"/>
          <w:lang w:val="pl-PL" w:eastAsia="pl-PL"/>
        </w:rPr>
        <w:t xml:space="preserve"> – komentuje </w:t>
      </w:r>
      <w:r w:rsidR="000A687D" w:rsidRPr="00C62599">
        <w:rPr>
          <w:rFonts w:ascii="Calibri" w:eastAsia="Times New Roman" w:hAnsi="Calibri" w:cs="Calibri"/>
          <w:b/>
          <w:color w:val="auto"/>
          <w:sz w:val="22"/>
          <w:lang w:val="pl-PL" w:eastAsia="pl-PL"/>
        </w:rPr>
        <w:t>Mat</w:t>
      </w:r>
      <w:r w:rsidR="00916E4C" w:rsidRPr="00C62599">
        <w:rPr>
          <w:rFonts w:ascii="Calibri" w:eastAsia="Times New Roman" w:hAnsi="Calibri" w:cs="Calibri"/>
          <w:b/>
          <w:color w:val="auto"/>
          <w:sz w:val="22"/>
          <w:lang w:val="pl-PL" w:eastAsia="pl-PL"/>
        </w:rPr>
        <w:t>eusz Madejski Dyrektor Sprzedaży i Marketingu</w:t>
      </w:r>
      <w:r w:rsidR="00916E4C">
        <w:rPr>
          <w:rFonts w:ascii="Calibri" w:eastAsia="Times New Roman" w:hAnsi="Calibri" w:cs="Calibri"/>
          <w:color w:val="auto"/>
          <w:sz w:val="22"/>
          <w:lang w:val="pl-PL" w:eastAsia="pl-PL"/>
        </w:rPr>
        <w:t xml:space="preserve"> </w:t>
      </w:r>
      <w:r w:rsidRPr="007C56CB">
        <w:rPr>
          <w:rFonts w:ascii="Calibri" w:eastAsia="Times New Roman" w:hAnsi="Calibri" w:cs="Calibri"/>
          <w:color w:val="auto"/>
          <w:sz w:val="22"/>
          <w:lang w:val="pl-PL" w:eastAsia="pl-PL"/>
        </w:rPr>
        <w:t xml:space="preserve">– </w:t>
      </w:r>
      <w:r w:rsidRPr="00C62599">
        <w:rPr>
          <w:rFonts w:ascii="Calibri" w:eastAsia="Times New Roman" w:hAnsi="Calibri" w:cs="Calibri"/>
          <w:i/>
          <w:color w:val="auto"/>
          <w:sz w:val="22"/>
          <w:lang w:val="pl-PL" w:eastAsia="pl-PL"/>
        </w:rPr>
        <w:t xml:space="preserve">Klienci oczekują dziś nie tylko elastyczności umów w obliczu niestabilnej sytuacji na rynku energii, ale także realnych narzędzi umożliwiających realizację własnych strategii dekarbonizacyjnych, które przełożą się na optymalizację kosztów. </w:t>
      </w:r>
      <w:r w:rsidR="0081683F" w:rsidRPr="00C62599">
        <w:rPr>
          <w:rFonts w:ascii="Calibri" w:eastAsia="Times New Roman" w:hAnsi="Calibri" w:cs="Calibri"/>
          <w:i/>
          <w:color w:val="auto"/>
          <w:sz w:val="22"/>
          <w:lang w:val="pl-PL" w:eastAsia="pl-PL"/>
        </w:rPr>
        <w:t>Bezpośrednia w</w:t>
      </w:r>
      <w:r w:rsidRPr="00C62599">
        <w:rPr>
          <w:rFonts w:ascii="Calibri" w:eastAsia="Times New Roman" w:hAnsi="Calibri" w:cs="Calibri"/>
          <w:i/>
          <w:color w:val="auto"/>
          <w:sz w:val="22"/>
          <w:lang w:val="pl-PL" w:eastAsia="pl-PL"/>
        </w:rPr>
        <w:t xml:space="preserve">spółpraca z producentem energii odnawialnej </w:t>
      </w:r>
      <w:r w:rsidR="0081683F" w:rsidRPr="00C62599">
        <w:rPr>
          <w:rFonts w:ascii="Calibri" w:eastAsia="Times New Roman" w:hAnsi="Calibri" w:cs="Calibri"/>
          <w:i/>
          <w:color w:val="auto"/>
          <w:sz w:val="22"/>
          <w:lang w:val="pl-PL" w:eastAsia="pl-PL"/>
        </w:rPr>
        <w:t xml:space="preserve">to realne korzyści biznesowe – </w:t>
      </w:r>
      <w:r w:rsidRPr="00C62599">
        <w:rPr>
          <w:rFonts w:ascii="Calibri" w:eastAsia="Times New Roman" w:hAnsi="Calibri" w:cs="Calibri"/>
          <w:i/>
          <w:color w:val="auto"/>
          <w:sz w:val="22"/>
          <w:lang w:val="pl-PL" w:eastAsia="pl-PL"/>
        </w:rPr>
        <w:t xml:space="preserve"> lepsze planowanie rozwoju, ograniczenie ryzyka związanego z wahaniami cen</w:t>
      </w:r>
      <w:r w:rsidR="00174910" w:rsidRPr="00C62599">
        <w:rPr>
          <w:rFonts w:ascii="Calibri" w:eastAsia="Times New Roman" w:hAnsi="Calibri" w:cs="Calibri"/>
          <w:i/>
          <w:color w:val="auto"/>
          <w:sz w:val="22"/>
          <w:lang w:val="pl-PL" w:eastAsia="pl-PL"/>
        </w:rPr>
        <w:t>,</w:t>
      </w:r>
      <w:r w:rsidR="00646376" w:rsidRPr="00C62599">
        <w:rPr>
          <w:rFonts w:ascii="Calibri" w:eastAsia="Times New Roman" w:hAnsi="Calibri" w:cs="Calibri"/>
          <w:i/>
          <w:color w:val="auto"/>
          <w:sz w:val="22"/>
          <w:lang w:val="pl-PL" w:eastAsia="pl-PL"/>
        </w:rPr>
        <w:t xml:space="preserve"> </w:t>
      </w:r>
      <w:r w:rsidRPr="00C62599">
        <w:rPr>
          <w:rFonts w:ascii="Calibri" w:eastAsia="Times New Roman" w:hAnsi="Calibri" w:cs="Calibri"/>
          <w:i/>
          <w:color w:val="auto"/>
          <w:sz w:val="22"/>
          <w:lang w:val="pl-PL" w:eastAsia="pl-PL"/>
        </w:rPr>
        <w:t>spełnianie wymogów wynikających z przepisów krajowych i unijnych</w:t>
      </w:r>
      <w:r w:rsidR="0081683F" w:rsidRPr="00C62599">
        <w:rPr>
          <w:rFonts w:ascii="Calibri" w:eastAsia="Times New Roman" w:hAnsi="Calibri" w:cs="Calibri"/>
          <w:i/>
          <w:color w:val="auto"/>
          <w:sz w:val="22"/>
          <w:lang w:val="pl-PL" w:eastAsia="pl-PL"/>
        </w:rPr>
        <w:t xml:space="preserve">, a także gwarantuje wiarygodność </w:t>
      </w:r>
      <w:r w:rsidR="009805D9" w:rsidRPr="00C62599">
        <w:rPr>
          <w:rFonts w:ascii="Calibri" w:eastAsia="Times New Roman" w:hAnsi="Calibri" w:cs="Calibri"/>
          <w:i/>
          <w:color w:val="auto"/>
          <w:sz w:val="22"/>
          <w:lang w:val="pl-PL" w:eastAsia="pl-PL"/>
        </w:rPr>
        <w:t xml:space="preserve">biznesową i pewność </w:t>
      </w:r>
      <w:r w:rsidR="0081683F" w:rsidRPr="00C62599">
        <w:rPr>
          <w:rFonts w:ascii="Calibri" w:eastAsia="Times New Roman" w:hAnsi="Calibri" w:cs="Calibri"/>
          <w:i/>
          <w:color w:val="auto"/>
          <w:sz w:val="22"/>
          <w:lang w:val="pl-PL" w:eastAsia="pl-PL"/>
        </w:rPr>
        <w:t>pochodzenia energii</w:t>
      </w:r>
      <w:r w:rsidRPr="00C62599">
        <w:rPr>
          <w:rFonts w:ascii="Calibri" w:eastAsia="Times New Roman" w:hAnsi="Calibri" w:cs="Calibri"/>
          <w:i/>
          <w:color w:val="auto"/>
          <w:sz w:val="22"/>
          <w:lang w:val="pl-PL" w:eastAsia="pl-PL"/>
        </w:rPr>
        <w:t xml:space="preserve">. Aktualnie, w odpowiedzi na zapotrzebowanie rynku, rozwijamy działalności ENGIE Zielona Energia, aby jeszcze skuteczniej odpowiadać na oczekiwania klientów. W planach mamy m.in. rozwój oferty magazynów energii, morskich elektrowni wiatrowych oraz </w:t>
      </w:r>
      <w:r w:rsidR="0081683F" w:rsidRPr="00C62599">
        <w:rPr>
          <w:i/>
          <w:lang w:val="pl-PL"/>
        </w:rPr>
        <w:t xml:space="preserve"> </w:t>
      </w:r>
      <w:r w:rsidR="0081683F" w:rsidRPr="00C62599">
        <w:rPr>
          <w:rFonts w:ascii="Calibri" w:eastAsia="Times New Roman" w:hAnsi="Calibri" w:cs="Calibri"/>
          <w:i/>
          <w:color w:val="auto"/>
          <w:sz w:val="22"/>
          <w:lang w:val="pl-PL" w:eastAsia="pl-PL"/>
        </w:rPr>
        <w:t xml:space="preserve">dostaw </w:t>
      </w:r>
      <w:proofErr w:type="spellStart"/>
      <w:r w:rsidR="0081683F" w:rsidRPr="00C62599">
        <w:rPr>
          <w:rFonts w:ascii="Calibri" w:eastAsia="Times New Roman" w:hAnsi="Calibri" w:cs="Calibri"/>
          <w:i/>
          <w:color w:val="auto"/>
          <w:sz w:val="22"/>
          <w:lang w:val="pl-PL" w:eastAsia="pl-PL"/>
        </w:rPr>
        <w:t>biometanu</w:t>
      </w:r>
      <w:proofErr w:type="spellEnd"/>
      <w:r w:rsidR="0081683F" w:rsidRPr="00C62599">
        <w:rPr>
          <w:rFonts w:ascii="Calibri" w:eastAsia="Times New Roman" w:hAnsi="Calibri" w:cs="Calibri"/>
          <w:i/>
          <w:color w:val="auto"/>
          <w:sz w:val="22"/>
          <w:lang w:val="pl-PL" w:eastAsia="pl-PL"/>
        </w:rPr>
        <w:t xml:space="preserve"> do odbiorców przemysłowych</w:t>
      </w:r>
      <w:r w:rsidRPr="00C62599">
        <w:rPr>
          <w:rFonts w:ascii="Calibri" w:eastAsia="Times New Roman" w:hAnsi="Calibri" w:cs="Calibri"/>
          <w:i/>
          <w:color w:val="auto"/>
          <w:sz w:val="22"/>
          <w:lang w:val="pl-PL" w:eastAsia="pl-PL"/>
        </w:rPr>
        <w:t>.</w:t>
      </w:r>
    </w:p>
    <w:p w14:paraId="0B986007" w14:textId="77777777" w:rsidR="007C56CB" w:rsidRPr="007C56CB" w:rsidRDefault="007C56CB" w:rsidP="007C56CB">
      <w:pPr>
        <w:spacing w:before="240" w:after="240" w:line="240" w:lineRule="auto"/>
        <w:jc w:val="both"/>
        <w:rPr>
          <w:rFonts w:ascii="Calibri" w:eastAsia="Times New Roman" w:hAnsi="Calibri" w:cs="Calibri"/>
          <w:b/>
          <w:color w:val="auto"/>
          <w:sz w:val="22"/>
          <w:lang w:val="pl-PL" w:eastAsia="pl-PL"/>
        </w:rPr>
      </w:pPr>
      <w:r w:rsidRPr="007C56CB">
        <w:rPr>
          <w:rFonts w:ascii="Calibri" w:eastAsia="Times New Roman" w:hAnsi="Calibri" w:cs="Calibri"/>
          <w:b/>
          <w:color w:val="auto"/>
          <w:sz w:val="22"/>
          <w:lang w:val="pl-PL" w:eastAsia="pl-PL"/>
        </w:rPr>
        <w:t>Koszty technologiczne a opłacalność źródeł</w:t>
      </w:r>
    </w:p>
    <w:p w14:paraId="0B861EB0" w14:textId="77777777" w:rsidR="00C62599" w:rsidRDefault="00C62599" w:rsidP="007C56CB">
      <w:pPr>
        <w:spacing w:before="240" w:after="240" w:line="240" w:lineRule="auto"/>
        <w:jc w:val="both"/>
        <w:rPr>
          <w:rFonts w:ascii="Calibri" w:eastAsia="Times New Roman" w:hAnsi="Calibri" w:cs="Calibri"/>
          <w:color w:val="auto"/>
          <w:sz w:val="22"/>
          <w:lang w:val="pl-PL" w:eastAsia="pl-PL"/>
        </w:rPr>
      </w:pPr>
      <w:r w:rsidRPr="00C62599">
        <w:rPr>
          <w:rFonts w:ascii="Calibri" w:eastAsia="Times New Roman" w:hAnsi="Calibri" w:cs="Calibri"/>
          <w:color w:val="auto"/>
          <w:sz w:val="22"/>
          <w:lang w:val="pl-PL" w:eastAsia="pl-PL"/>
        </w:rPr>
        <w:t>Według Agencji Rynku Energii to właśnie OZE charakteryzują się najniższymi technicznymi kosztami wytwarzania energii elektrycznej (znacznie poniżej kosztów zmiennych generowanych przez jednostki konwencjonalne). Choć koszty inwestycyjne w OZE wciąż są znaczące, to niskie koszty eksploatacyjne i długa żywotność instalacji sprawiają, że stają się one coraz bardziej konkurencyjne względem źródeł konwencjonalnych, gdzie średni koszt elektrowni spalających węgiel kamienny to aż 441,5zł/MWh. Co istotne, wartości te nie uwzględniają opłat emisyjnych ani kosztów handlowych, które dodatkowo obciążają źródła wysokoemisyjne.</w:t>
      </w:r>
    </w:p>
    <w:p w14:paraId="753FABFD" w14:textId="4945882E" w:rsidR="007C56CB" w:rsidRPr="007C56CB" w:rsidRDefault="007C56CB" w:rsidP="007C56CB">
      <w:pPr>
        <w:spacing w:before="240" w:after="240" w:line="240" w:lineRule="auto"/>
        <w:jc w:val="both"/>
        <w:rPr>
          <w:rFonts w:ascii="Calibri" w:eastAsia="Times New Roman" w:hAnsi="Calibri" w:cs="Calibri"/>
          <w:color w:val="auto"/>
          <w:sz w:val="22"/>
          <w:lang w:val="pl-PL" w:eastAsia="pl-PL"/>
        </w:rPr>
      </w:pPr>
      <w:r w:rsidRPr="007C56CB">
        <w:rPr>
          <w:rFonts w:ascii="Calibri" w:eastAsia="Times New Roman" w:hAnsi="Calibri" w:cs="Calibri"/>
          <w:color w:val="auto"/>
          <w:sz w:val="22"/>
          <w:lang w:val="pl-PL" w:eastAsia="pl-PL"/>
        </w:rPr>
        <w:t>Kluczowe w rozwoju instalacji OZE stają się inwestycje w infrastrukturę wspierającą elastyczność sieci – przede wszystkim w systemy magazynowania energii. Według dostępnych prognoz, koszt przechowywania jednej MWh energii może spaść z obecnych 373 zł do 212 zł w 2035 roku. Technologie magazynowania nie tylko umożliwiają bilansowanie zmienności produkcji z OZE, ale zwiększają także możliwości przyłączania nowych źródeł – szczególnie w regionach o dużym potencjale wytwórczym, ale ograniczonym dostępie</w:t>
      </w:r>
      <w:r>
        <w:rPr>
          <w:rFonts w:ascii="Calibri" w:eastAsia="Times New Roman" w:hAnsi="Calibri" w:cs="Calibri"/>
          <w:color w:val="auto"/>
          <w:sz w:val="22"/>
          <w:lang w:val="pl-PL" w:eastAsia="pl-PL"/>
        </w:rPr>
        <w:t xml:space="preserve"> do infrastruktury przesyłowej.</w:t>
      </w:r>
    </w:p>
    <w:p w14:paraId="26B60B5D" w14:textId="77777777" w:rsidR="007C56CB" w:rsidRPr="007C56CB" w:rsidRDefault="007C56CB" w:rsidP="007C56CB">
      <w:pPr>
        <w:spacing w:before="240" w:after="240" w:line="240" w:lineRule="auto"/>
        <w:jc w:val="both"/>
        <w:rPr>
          <w:rFonts w:ascii="Calibri" w:eastAsia="Times New Roman" w:hAnsi="Calibri" w:cs="Calibri"/>
          <w:b/>
          <w:color w:val="auto"/>
          <w:sz w:val="22"/>
          <w:lang w:val="pl-PL" w:eastAsia="pl-PL"/>
        </w:rPr>
      </w:pPr>
      <w:r w:rsidRPr="007C56CB">
        <w:rPr>
          <w:rFonts w:ascii="Calibri" w:eastAsia="Times New Roman" w:hAnsi="Calibri" w:cs="Calibri"/>
          <w:b/>
          <w:color w:val="auto"/>
          <w:sz w:val="22"/>
          <w:lang w:val="pl-PL" w:eastAsia="pl-PL"/>
        </w:rPr>
        <w:t>Przyszłość wiatraków pod znakiem zapytania</w:t>
      </w:r>
    </w:p>
    <w:p w14:paraId="6962663B" w14:textId="714EFE39" w:rsidR="007C56CB" w:rsidRPr="007C56CB" w:rsidRDefault="007C56CB" w:rsidP="007C56CB">
      <w:pPr>
        <w:spacing w:before="240" w:after="240" w:line="240" w:lineRule="auto"/>
        <w:jc w:val="both"/>
        <w:rPr>
          <w:rFonts w:ascii="Calibri" w:eastAsia="Times New Roman" w:hAnsi="Calibri" w:cs="Calibri"/>
          <w:color w:val="auto"/>
          <w:sz w:val="22"/>
          <w:lang w:val="pl-PL" w:eastAsia="pl-PL"/>
        </w:rPr>
      </w:pPr>
      <w:r w:rsidRPr="007C56CB">
        <w:rPr>
          <w:rFonts w:ascii="Calibri" w:eastAsia="Times New Roman" w:hAnsi="Calibri" w:cs="Calibri"/>
          <w:color w:val="auto"/>
          <w:sz w:val="22"/>
          <w:lang w:val="pl-PL" w:eastAsia="pl-PL"/>
        </w:rPr>
        <w:t>W Polsce istnieje zarówno potencjał technologiczny, jak i projektowy – według szacunków PSEW, sama zmiana zasady odległościowej może do 2040 roku odblokować aż 41 GW nowych mocy z wiatru. Kluczowe znaczenie będzie miało jednak tempo wdrażania reform oraz efektywność instytucjonalna. Dla przemysłu oznacza to szansę na bardziej przewidywalne i konkurencyjne ceny energii, natomiast dla sam</w:t>
      </w:r>
      <w:r>
        <w:rPr>
          <w:rFonts w:ascii="Calibri" w:eastAsia="Times New Roman" w:hAnsi="Calibri" w:cs="Calibri"/>
          <w:color w:val="auto"/>
          <w:sz w:val="22"/>
          <w:lang w:val="pl-PL" w:eastAsia="pl-PL"/>
        </w:rPr>
        <w:t>orządów – nowe źródła dochodów.</w:t>
      </w:r>
    </w:p>
    <w:p w14:paraId="07D804B9" w14:textId="77777777" w:rsidR="00C62599" w:rsidRDefault="00C62599" w:rsidP="007C56CB">
      <w:pPr>
        <w:spacing w:before="240" w:after="240" w:line="240" w:lineRule="auto"/>
        <w:jc w:val="both"/>
        <w:rPr>
          <w:rFonts w:ascii="Calibri" w:eastAsia="Times New Roman" w:hAnsi="Calibri" w:cs="Calibri"/>
          <w:color w:val="auto"/>
          <w:sz w:val="22"/>
          <w:lang w:eastAsia="pl-PL"/>
        </w:rPr>
      </w:pPr>
      <w:r w:rsidRPr="00C62599">
        <w:rPr>
          <w:rFonts w:ascii="Calibri" w:eastAsia="Times New Roman" w:hAnsi="Calibri" w:cs="Calibri"/>
          <w:color w:val="auto"/>
          <w:sz w:val="22"/>
          <w:lang w:eastAsia="pl-PL"/>
        </w:rPr>
        <w:t xml:space="preserve">Scenariusz pozytywny zakłada przyjęcie znowelizowanej ustawy „odległościowej” w 2025 roku, odblokowanie projektów inwestycyjnych w lądową energetykę wiatrową, przyspieszenie </w:t>
      </w:r>
      <w:r w:rsidRPr="00C62599">
        <w:rPr>
          <w:rFonts w:ascii="Calibri" w:eastAsia="Times New Roman" w:hAnsi="Calibri" w:cs="Calibri"/>
          <w:color w:val="auto"/>
          <w:sz w:val="22"/>
          <w:lang w:eastAsia="pl-PL"/>
        </w:rPr>
        <w:lastRenderedPageBreak/>
        <w:t>rozbudowy sieci oraz uruchomienie programów wsparcia dla magazynów energii. W takim wariancie Polska mogłaby znacząco zwiększyć swoją niezależność energetyczną, ustabilizować ceny i przyspieszyć realizację celów klimatycznych.</w:t>
      </w:r>
    </w:p>
    <w:p w14:paraId="63DB87CB" w14:textId="77777777" w:rsidR="00C62599" w:rsidRDefault="00C62599" w:rsidP="00C62599">
      <w:pPr>
        <w:pStyle w:val="NormalnyWeb"/>
        <w:spacing w:before="0" w:beforeAutospacing="0" w:after="240" w:afterAutospacing="0"/>
        <w:jc w:val="both"/>
        <w:rPr>
          <w:rFonts w:eastAsia="Times New Roman"/>
          <w:lang w:val="fr-FR"/>
        </w:rPr>
      </w:pPr>
      <w:r w:rsidRPr="00C62599">
        <w:rPr>
          <w:rFonts w:eastAsia="Times New Roman"/>
          <w:lang w:val="fr-FR"/>
        </w:rPr>
        <w:t>Scenariusz alternatywny wiąże się nie tylko ze stratami gospodarczymi, ale także z rosnącym ryzykiem uzależnienia od importu energii i surowców. Utrzymanie obecnego status quo może sprawić, że Polska nie wykorzysta w pełni potencjału rozwoju sektora OZE – co z perspektywy krajowej i unijnej byłoby zmarnowaną szansą na skokowy rozwój nowoczesnej energetyki.</w:t>
      </w:r>
    </w:p>
    <w:p w14:paraId="0273F2D8" w14:textId="2728D0B5" w:rsidR="00744AF9" w:rsidRPr="000A687D" w:rsidRDefault="00A85502" w:rsidP="00744AF9">
      <w:pPr>
        <w:pStyle w:val="NormalnyWeb"/>
        <w:spacing w:before="0" w:beforeAutospacing="0" w:after="240" w:afterAutospacing="0"/>
        <w:jc w:val="center"/>
        <w:rPr>
          <w:rFonts w:ascii="Arial" w:hAnsi="Arial" w:cs="Arial"/>
          <w:i/>
          <w:iCs/>
        </w:rPr>
      </w:pPr>
      <w:r w:rsidRPr="000A687D">
        <w:rPr>
          <w:rFonts w:ascii="Arial" w:hAnsi="Arial" w:cs="Arial"/>
          <w:i/>
          <w:iCs/>
        </w:rPr>
        <w:t>***</w:t>
      </w:r>
    </w:p>
    <w:p w14:paraId="1F1EC805" w14:textId="77777777" w:rsidR="00AD65DF" w:rsidRPr="001A1C14" w:rsidRDefault="00AD65DF" w:rsidP="00AD65DF">
      <w:pPr>
        <w:pStyle w:val="Texteapropos"/>
        <w:rPr>
          <w:rStyle w:val="Bold"/>
          <w:rFonts w:ascii="Calibri" w:hAnsi="Calibri" w:cs="Calibri"/>
          <w:lang w:val="pl-PL"/>
        </w:rPr>
      </w:pPr>
      <w:r w:rsidRPr="001A1C14">
        <w:rPr>
          <w:rStyle w:val="Bold"/>
          <w:rFonts w:ascii="Calibri" w:hAnsi="Calibri" w:cs="Calibri"/>
          <w:lang w:val="pl-PL"/>
        </w:rPr>
        <w:t>O ENGIE Polska</w:t>
      </w:r>
    </w:p>
    <w:p w14:paraId="7AEC2BC6" w14:textId="77777777" w:rsidR="00AD65DF" w:rsidRPr="001A1C14" w:rsidRDefault="00AD65DF" w:rsidP="00AD65DF">
      <w:pPr>
        <w:pStyle w:val="Texteapropos"/>
        <w:rPr>
          <w:rFonts w:ascii="Calibri" w:hAnsi="Calibri" w:cs="Calibri"/>
          <w:lang w:val="pl-PL"/>
        </w:rPr>
      </w:pPr>
    </w:p>
    <w:p w14:paraId="51584177" w14:textId="77777777" w:rsidR="00AD65DF" w:rsidRPr="001A1C14" w:rsidRDefault="00AD65DF" w:rsidP="00AD65DF">
      <w:pPr>
        <w:pStyle w:val="Textedesaisie"/>
        <w:rPr>
          <w:rFonts w:ascii="Calibri" w:hAnsi="Calibri" w:cs="Calibri"/>
          <w:color w:val="auto"/>
          <w:lang w:val="pl-PL"/>
        </w:rPr>
      </w:pPr>
      <w:r w:rsidRPr="001A1C14">
        <w:rPr>
          <w:rFonts w:ascii="Calibri" w:hAnsi="Calibri" w:cs="Calibri"/>
          <w:color w:val="auto"/>
          <w:sz w:val="18"/>
          <w:szCs w:val="18"/>
          <w:lang w:val="pl-PL"/>
        </w:rPr>
        <w:t>ENGIE Polska należy do międzynarodowego koncernu energetycznego ENGIE, który specjalizuje się w niskoemisyjnych produktach i usługach, wspierając transformację energetyczną w Europie i na świecie. W Polsce grupa składa się z sześciu wyspecjalizowanych spółek, które dostarczają innowacyjne rozwiązania energetyczne dla miast, samorządów, przemysłu i sektora nieruchomości. ENGIE Polska koncentruje się na modernizacji systemów ciepłowniczych, rozwoju odnawialnych źródeł energii oraz wdrażaniu inteligentnych technologii zarządzania energią, przyczyniając się do poprawy efektywności energetycznej i redukcji emisji CO₂.</w:t>
      </w:r>
    </w:p>
    <w:p w14:paraId="41D459DB" w14:textId="77777777" w:rsidR="00AD65DF" w:rsidRPr="001A1C14" w:rsidRDefault="00AD65DF" w:rsidP="00AD65DF">
      <w:pPr>
        <w:pStyle w:val="Textedesaisie"/>
        <w:rPr>
          <w:rFonts w:ascii="Calibri" w:hAnsi="Calibri" w:cs="Calibri"/>
          <w:color w:val="auto"/>
          <w:lang w:val="pl-PL"/>
        </w:rPr>
      </w:pPr>
    </w:p>
    <w:p w14:paraId="0A88086B" w14:textId="77777777" w:rsidR="00AD65DF" w:rsidRPr="001A1C14" w:rsidRDefault="00AD65DF" w:rsidP="00AD65DF">
      <w:pPr>
        <w:pStyle w:val="Textedesaisie"/>
        <w:rPr>
          <w:rFonts w:ascii="Calibri" w:hAnsi="Calibri" w:cs="Calibri"/>
          <w:color w:val="auto"/>
          <w:lang w:val="pl-PL"/>
        </w:rPr>
      </w:pPr>
    </w:p>
    <w:tbl>
      <w:tblPr>
        <w:tblStyle w:val="Tabela-Siatka"/>
        <w:tblW w:w="25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52"/>
      </w:tblGrid>
      <w:tr w:rsidR="00AD65DF" w:rsidRPr="00486946" w14:paraId="221842BC" w14:textId="77777777" w:rsidTr="00931CCD">
        <w:tc>
          <w:tcPr>
            <w:tcW w:w="4252" w:type="dxa"/>
          </w:tcPr>
          <w:p w14:paraId="1FB7ACE4" w14:textId="77777777" w:rsidR="00AD65DF" w:rsidRPr="001A1C14" w:rsidRDefault="00AD65DF" w:rsidP="00931CCD">
            <w:pPr>
              <w:pStyle w:val="Textecontact"/>
              <w:rPr>
                <w:rStyle w:val="Bold"/>
                <w:rFonts w:ascii="Calibri" w:hAnsi="Calibri" w:cs="Calibri"/>
                <w:lang w:val="pl-PL"/>
              </w:rPr>
            </w:pPr>
            <w:r w:rsidRPr="001A1C14">
              <w:rPr>
                <w:rStyle w:val="Bold"/>
                <w:rFonts w:ascii="Calibri" w:hAnsi="Calibri" w:cs="Calibri"/>
                <w:lang w:val="pl-PL"/>
              </w:rPr>
              <w:t>Kontakt dla mediów:</w:t>
            </w:r>
          </w:p>
          <w:p w14:paraId="64706D42" w14:textId="77777777" w:rsidR="00AD65DF" w:rsidRPr="00486946" w:rsidRDefault="00AD65DF" w:rsidP="00931CCD">
            <w:pPr>
              <w:pStyle w:val="Textecontact"/>
              <w:rPr>
                <w:rFonts w:ascii="Calibri" w:hAnsi="Calibri" w:cs="Calibri"/>
                <w:lang w:val="pl-PL"/>
              </w:rPr>
            </w:pPr>
            <w:r w:rsidRPr="00486946">
              <w:rPr>
                <w:rFonts w:ascii="Calibri" w:hAnsi="Calibri" w:cs="Calibri"/>
                <w:bCs/>
                <w:lang w:val="pl-PL"/>
              </w:rPr>
              <w:t>Magdalena Jaromińska</w:t>
            </w:r>
          </w:p>
          <w:p w14:paraId="481C734A" w14:textId="77777777" w:rsidR="00AD65DF" w:rsidRPr="00486946" w:rsidRDefault="00AD65DF" w:rsidP="00931CCD">
            <w:pPr>
              <w:pStyle w:val="Textecontact"/>
              <w:rPr>
                <w:rFonts w:ascii="Calibri" w:hAnsi="Calibri" w:cs="Calibri"/>
                <w:lang w:val="pl-PL"/>
              </w:rPr>
            </w:pPr>
            <w:r w:rsidRPr="00486946">
              <w:rPr>
                <w:rFonts w:ascii="Calibri" w:hAnsi="Calibri" w:cs="Calibri"/>
                <w:lang w:val="pl-PL"/>
              </w:rPr>
              <w:t xml:space="preserve">Chief Communications </w:t>
            </w:r>
            <w:proofErr w:type="spellStart"/>
            <w:r w:rsidRPr="00486946">
              <w:rPr>
                <w:rFonts w:ascii="Calibri" w:hAnsi="Calibri" w:cs="Calibri"/>
                <w:lang w:val="pl-PL"/>
              </w:rPr>
              <w:t>Officer</w:t>
            </w:r>
            <w:proofErr w:type="spellEnd"/>
            <w:r w:rsidRPr="00486946">
              <w:rPr>
                <w:rFonts w:ascii="Calibri" w:hAnsi="Calibri" w:cs="Calibri"/>
                <w:lang w:val="pl-PL"/>
              </w:rPr>
              <w:t>/Kierownik ds. komunikacji</w:t>
            </w:r>
          </w:p>
          <w:p w14:paraId="067FB075" w14:textId="77777777" w:rsidR="00AD65DF" w:rsidRPr="00486946" w:rsidRDefault="00AD65DF" w:rsidP="00931CCD">
            <w:pPr>
              <w:pStyle w:val="Textecontact"/>
              <w:rPr>
                <w:rFonts w:ascii="Calibri" w:hAnsi="Calibri" w:cs="Calibri"/>
                <w:lang w:val="pl-PL"/>
              </w:rPr>
            </w:pPr>
            <w:r w:rsidRPr="00486946">
              <w:rPr>
                <w:rFonts w:ascii="Calibri" w:hAnsi="Calibri" w:cs="Calibri"/>
                <w:lang w:val="pl-PL"/>
              </w:rPr>
              <w:t>M: +48 604 299 672</w:t>
            </w:r>
            <w:r w:rsidRPr="00486946">
              <w:rPr>
                <w:rFonts w:ascii="Calibri" w:hAnsi="Calibri" w:cs="Calibri"/>
                <w:lang w:val="pl-PL"/>
              </w:rPr>
              <w:br/>
            </w:r>
            <w:hyperlink r:id="rId12" w:tgtFrame="_blank" w:history="1">
              <w:r w:rsidRPr="00486946">
                <w:rPr>
                  <w:rStyle w:val="Hipercze"/>
                  <w:rFonts w:ascii="Calibri" w:hAnsi="Calibri" w:cs="Calibri"/>
                  <w:lang w:val="pl-PL"/>
                </w:rPr>
                <w:t>magdalena.jarominska@engie.com</w:t>
              </w:r>
            </w:hyperlink>
          </w:p>
          <w:p w14:paraId="6BA1326C" w14:textId="77777777" w:rsidR="00AD65DF" w:rsidRPr="00486946" w:rsidRDefault="00AD65DF" w:rsidP="00931CCD">
            <w:pPr>
              <w:pStyle w:val="Textecontact"/>
              <w:rPr>
                <w:rFonts w:ascii="Calibri" w:hAnsi="Calibri" w:cs="Calibri"/>
              </w:rPr>
            </w:pPr>
          </w:p>
        </w:tc>
      </w:tr>
    </w:tbl>
    <w:p w14:paraId="17C4F68C" w14:textId="77777777" w:rsidR="00AD65DF" w:rsidRPr="00486946" w:rsidRDefault="00AD65DF" w:rsidP="00AD65DF">
      <w:pPr>
        <w:pStyle w:val="Textedesaisie"/>
        <w:rPr>
          <w:rFonts w:ascii="Calibri" w:hAnsi="Calibri" w:cs="Calibri"/>
          <w:color w:val="auto"/>
        </w:rPr>
      </w:pPr>
    </w:p>
    <w:p w14:paraId="479F62BF" w14:textId="77777777" w:rsidR="00F92ECA" w:rsidRPr="00C54EFA" w:rsidRDefault="00F92ECA" w:rsidP="004742C3">
      <w:pPr>
        <w:jc w:val="both"/>
        <w:rPr>
          <w:color w:val="auto"/>
          <w:lang w:val="pl-PL"/>
        </w:rPr>
      </w:pPr>
    </w:p>
    <w:sectPr w:rsidR="00F92ECA" w:rsidRPr="00C54EFA" w:rsidSect="00BA6623">
      <w:headerReference w:type="default" r:id="rId13"/>
      <w:footerReference w:type="default" r:id="rId14"/>
      <w:headerReference w:type="first" r:id="rId15"/>
      <w:type w:val="continuous"/>
      <w:pgSz w:w="11906" w:h="16838" w:code="9"/>
      <w:pgMar w:top="851" w:right="1701" w:bottom="851" w:left="1701"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C5CE8" w14:textId="77777777" w:rsidR="00345236" w:rsidRDefault="00345236" w:rsidP="003865B7">
      <w:r>
        <w:separator/>
      </w:r>
    </w:p>
  </w:endnote>
  <w:endnote w:type="continuationSeparator" w:id="0">
    <w:p w14:paraId="2F5953F7" w14:textId="77777777" w:rsidR="00345236" w:rsidRDefault="00345236" w:rsidP="00386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otham Black">
    <w:charset w:val="00"/>
    <w:family w:val="auto"/>
    <w:pitch w:val="variable"/>
    <w:sig w:usb0="A00000AF" w:usb1="50000048" w:usb2="00000000" w:usb3="00000000" w:csb0="0000011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200"/>
      <w:gridCol w:w="180"/>
      <w:gridCol w:w="540"/>
      <w:gridCol w:w="584"/>
    </w:tblGrid>
    <w:tr w:rsidR="00F92ECA" w:rsidRPr="005D2323" w14:paraId="44C19330" w14:textId="77777777" w:rsidTr="00D20A74">
      <w:trPr>
        <w:trHeight w:hRule="exact" w:val="142"/>
      </w:trPr>
      <w:tc>
        <w:tcPr>
          <w:tcW w:w="7920" w:type="dxa"/>
          <w:gridSpan w:val="3"/>
          <w:tcBorders>
            <w:bottom w:val="single" w:sz="4" w:space="0" w:color="00817D" w:themeColor="accent3"/>
          </w:tcBorders>
          <w:vAlign w:val="bottom"/>
        </w:tcPr>
        <w:p w14:paraId="7D24C987" w14:textId="77777777" w:rsidR="00F92ECA" w:rsidRPr="005D2323" w:rsidRDefault="00F92ECA" w:rsidP="00585399">
          <w:pPr>
            <w:pStyle w:val="Stopka"/>
            <w:jc w:val="right"/>
            <w:rPr>
              <w:sz w:val="18"/>
              <w:szCs w:val="18"/>
              <w:lang w:val="en-GB"/>
            </w:rPr>
          </w:pPr>
        </w:p>
      </w:tc>
      <w:tc>
        <w:tcPr>
          <w:tcW w:w="584" w:type="dxa"/>
          <w:vMerge w:val="restart"/>
          <w:vAlign w:val="center"/>
        </w:tcPr>
        <w:p w14:paraId="075436A9" w14:textId="57E3F506" w:rsidR="00F92ECA" w:rsidRPr="005D2323" w:rsidRDefault="00F92ECA" w:rsidP="000A1580">
          <w:pPr>
            <w:pStyle w:val="Stopka"/>
            <w:jc w:val="right"/>
            <w:rPr>
              <w:sz w:val="18"/>
              <w:szCs w:val="18"/>
              <w:lang w:val="en-GB"/>
            </w:rPr>
          </w:pPr>
          <w:r w:rsidRPr="005D2323">
            <w:rPr>
              <w:sz w:val="18"/>
              <w:szCs w:val="18"/>
              <w:lang w:val="en-GB"/>
            </w:rPr>
            <w:fldChar w:fldCharType="begin"/>
          </w:r>
          <w:r w:rsidRPr="005D2323">
            <w:rPr>
              <w:sz w:val="18"/>
              <w:szCs w:val="18"/>
              <w:lang w:val="en-GB"/>
            </w:rPr>
            <w:instrText xml:space="preserve"> PAGE  \* Arabic  \* MERGEFORMAT </w:instrText>
          </w:r>
          <w:r w:rsidRPr="005D2323">
            <w:rPr>
              <w:sz w:val="18"/>
              <w:szCs w:val="18"/>
              <w:lang w:val="en-GB"/>
            </w:rPr>
            <w:fldChar w:fldCharType="separate"/>
          </w:r>
          <w:r w:rsidR="00C62599">
            <w:rPr>
              <w:noProof/>
              <w:sz w:val="18"/>
              <w:szCs w:val="18"/>
              <w:lang w:val="en-GB"/>
            </w:rPr>
            <w:t>3</w:t>
          </w:r>
          <w:r w:rsidRPr="005D2323">
            <w:rPr>
              <w:sz w:val="18"/>
              <w:szCs w:val="18"/>
              <w:lang w:val="en-GB"/>
            </w:rPr>
            <w:fldChar w:fldCharType="end"/>
          </w:r>
        </w:p>
      </w:tc>
    </w:tr>
    <w:tr w:rsidR="00F92ECA" w:rsidRPr="005D2323" w14:paraId="4436BC1A" w14:textId="77777777" w:rsidTr="00D20A74">
      <w:trPr>
        <w:trHeight w:hRule="exact" w:val="142"/>
      </w:trPr>
      <w:tc>
        <w:tcPr>
          <w:tcW w:w="7920" w:type="dxa"/>
          <w:gridSpan w:val="3"/>
          <w:tcBorders>
            <w:top w:val="single" w:sz="4" w:space="0" w:color="00817D" w:themeColor="accent3"/>
          </w:tcBorders>
          <w:vAlign w:val="bottom"/>
        </w:tcPr>
        <w:p w14:paraId="51386F34" w14:textId="77777777" w:rsidR="00F92ECA" w:rsidRPr="005D2323" w:rsidRDefault="00F92ECA" w:rsidP="00585399">
          <w:pPr>
            <w:pStyle w:val="Stopka"/>
            <w:jc w:val="right"/>
            <w:rPr>
              <w:sz w:val="18"/>
              <w:szCs w:val="18"/>
              <w:lang w:val="en-GB"/>
            </w:rPr>
          </w:pPr>
        </w:p>
      </w:tc>
      <w:tc>
        <w:tcPr>
          <w:tcW w:w="584" w:type="dxa"/>
          <w:vMerge/>
          <w:vAlign w:val="bottom"/>
        </w:tcPr>
        <w:p w14:paraId="7D0F04C4" w14:textId="77777777" w:rsidR="00F92ECA" w:rsidRPr="005D2323" w:rsidRDefault="00F92ECA" w:rsidP="00585399">
          <w:pPr>
            <w:pStyle w:val="Stopka"/>
            <w:jc w:val="right"/>
            <w:rPr>
              <w:sz w:val="18"/>
              <w:szCs w:val="18"/>
              <w:lang w:val="en-GB"/>
            </w:rPr>
          </w:pPr>
        </w:p>
      </w:tc>
    </w:tr>
    <w:tr w:rsidR="00F92ECA" w:rsidRPr="005D2323" w14:paraId="4E35B9CC" w14:textId="77777777" w:rsidTr="0046543F">
      <w:tc>
        <w:tcPr>
          <w:tcW w:w="7200" w:type="dxa"/>
          <w:vAlign w:val="bottom"/>
        </w:tcPr>
        <w:p w14:paraId="02DB16AD" w14:textId="77777777" w:rsidR="003D120D" w:rsidRPr="003D120D" w:rsidRDefault="003D120D" w:rsidP="003D120D">
          <w:pPr>
            <w:pStyle w:val="Adressepieddepage"/>
            <w:rPr>
              <w:rStyle w:val="Bold"/>
              <w:lang w:val="fr-FR"/>
            </w:rPr>
          </w:pPr>
          <w:r w:rsidRPr="003D120D">
            <w:rPr>
              <w:rStyle w:val="Bold"/>
              <w:lang w:val="fr-FR"/>
            </w:rPr>
            <w:t>ENGIE CORPORATE HEADQUARTERS</w:t>
          </w:r>
        </w:p>
        <w:p w14:paraId="2A01AD89" w14:textId="77777777" w:rsidR="003D120D" w:rsidRPr="00D20A74" w:rsidRDefault="003D120D" w:rsidP="003D120D">
          <w:pPr>
            <w:pStyle w:val="Adressepieddepage"/>
            <w:rPr>
              <w:lang w:val="fr-FR"/>
            </w:rPr>
          </w:pPr>
          <w:r w:rsidRPr="00D20A74">
            <w:rPr>
              <w:lang w:val="fr-FR"/>
            </w:rPr>
            <w:t xml:space="preserve">Tour T1 – 1 place Samuel de Champlain – Faubourg de l’Arche – 92930 Paris La Défense cedex – France </w:t>
          </w:r>
        </w:p>
        <w:p w14:paraId="1D6B2D93" w14:textId="77777777" w:rsidR="003D120D" w:rsidRPr="003D120D" w:rsidRDefault="003D120D" w:rsidP="003D120D">
          <w:pPr>
            <w:pStyle w:val="Adressepieddepage"/>
          </w:pPr>
          <w:r w:rsidRPr="003D120D">
            <w:t>ENGIE – French limited liability company with capital of 2,435,285,011 EUROS – listed on the NANTERRE register of trades and companies under number 542 107 651 – Tel: +33 (0)1 44 22 00 00</w:t>
          </w:r>
        </w:p>
      </w:tc>
      <w:tc>
        <w:tcPr>
          <w:tcW w:w="180" w:type="dxa"/>
          <w:vMerge w:val="restart"/>
        </w:tcPr>
        <w:p w14:paraId="33C031DA" w14:textId="77777777" w:rsidR="00F92ECA" w:rsidRPr="005D2323" w:rsidRDefault="00F92ECA" w:rsidP="00585399">
          <w:pPr>
            <w:pStyle w:val="Stopka"/>
            <w:rPr>
              <w:lang w:val="en-GB"/>
            </w:rPr>
          </w:pPr>
        </w:p>
      </w:tc>
      <w:tc>
        <w:tcPr>
          <w:tcW w:w="1124" w:type="dxa"/>
          <w:gridSpan w:val="2"/>
          <w:vMerge w:val="restart"/>
          <w:vAlign w:val="bottom"/>
        </w:tcPr>
        <w:p w14:paraId="6F453CAD" w14:textId="77777777" w:rsidR="00F92ECA" w:rsidRPr="00D20A74" w:rsidRDefault="00F92ECA" w:rsidP="008D1132">
          <w:pPr>
            <w:pStyle w:val="Texteadresseinternet"/>
            <w:rPr>
              <w:color w:val="00817D" w:themeColor="accent3"/>
              <w:lang w:val="en-GB"/>
            </w:rPr>
          </w:pPr>
          <w:r w:rsidRPr="00D20A74">
            <w:rPr>
              <w:color w:val="00817D" w:themeColor="accent3"/>
              <w:lang w:val="en-GB"/>
            </w:rPr>
            <w:t>engie.com</w:t>
          </w:r>
        </w:p>
      </w:tc>
    </w:tr>
    <w:tr w:rsidR="00F92ECA" w:rsidRPr="005D2323" w14:paraId="3D595734" w14:textId="77777777" w:rsidTr="0046543F">
      <w:trPr>
        <w:trHeight w:hRule="exact" w:val="85"/>
      </w:trPr>
      <w:tc>
        <w:tcPr>
          <w:tcW w:w="7200" w:type="dxa"/>
          <w:vAlign w:val="bottom"/>
        </w:tcPr>
        <w:p w14:paraId="7E25B82C" w14:textId="77777777" w:rsidR="00F92ECA" w:rsidRPr="003D120D" w:rsidRDefault="00F92ECA" w:rsidP="00585399">
          <w:pPr>
            <w:pStyle w:val="Stopka"/>
            <w:spacing w:line="180" w:lineRule="atLeast"/>
            <w:rPr>
              <w:color w:val="84A0AF"/>
              <w:sz w:val="14"/>
              <w:szCs w:val="14"/>
              <w:lang w:val="en-GB"/>
            </w:rPr>
          </w:pPr>
        </w:p>
      </w:tc>
      <w:tc>
        <w:tcPr>
          <w:tcW w:w="180" w:type="dxa"/>
          <w:vMerge/>
        </w:tcPr>
        <w:p w14:paraId="081773DD" w14:textId="77777777" w:rsidR="00F92ECA" w:rsidRPr="005D2323" w:rsidRDefault="00F92ECA" w:rsidP="00585399">
          <w:pPr>
            <w:pStyle w:val="Stopka"/>
            <w:rPr>
              <w:lang w:val="en-GB"/>
            </w:rPr>
          </w:pPr>
        </w:p>
      </w:tc>
      <w:tc>
        <w:tcPr>
          <w:tcW w:w="1124" w:type="dxa"/>
          <w:gridSpan w:val="2"/>
          <w:vMerge/>
          <w:vAlign w:val="bottom"/>
        </w:tcPr>
        <w:p w14:paraId="06C48CC7" w14:textId="77777777" w:rsidR="00F92ECA" w:rsidRPr="005D2323" w:rsidRDefault="00F92ECA" w:rsidP="00585399">
          <w:pPr>
            <w:pStyle w:val="Stopka"/>
            <w:jc w:val="right"/>
            <w:rPr>
              <w:sz w:val="18"/>
              <w:szCs w:val="18"/>
              <w:lang w:val="en-GB"/>
            </w:rPr>
          </w:pPr>
        </w:p>
      </w:tc>
    </w:tr>
  </w:tbl>
  <w:p w14:paraId="2773467A" w14:textId="77777777" w:rsidR="00F92ECA" w:rsidRPr="005D2323" w:rsidRDefault="00F92ECA" w:rsidP="00585399">
    <w:pPr>
      <w:pStyle w:val="Stopka"/>
      <w:rPr>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C5557" w14:textId="77777777" w:rsidR="00345236" w:rsidRDefault="00345236" w:rsidP="003865B7">
      <w:r>
        <w:separator/>
      </w:r>
    </w:p>
  </w:footnote>
  <w:footnote w:type="continuationSeparator" w:id="0">
    <w:p w14:paraId="0F38DCD8" w14:textId="77777777" w:rsidR="00345236" w:rsidRDefault="00345236" w:rsidP="003865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B748D" w14:textId="77777777" w:rsidR="00F92ECA" w:rsidRPr="005D2323" w:rsidRDefault="00F92ECA" w:rsidP="003C7C34">
    <w:pPr>
      <w:pStyle w:val="Nagwek"/>
      <w:rPr>
        <w:lang w:val="en-GB"/>
      </w:rPr>
    </w:pPr>
  </w:p>
  <w:p w14:paraId="0F330853" w14:textId="77777777" w:rsidR="00F92ECA" w:rsidRPr="005D2323" w:rsidRDefault="00F92ECA" w:rsidP="00A47F4D">
    <w:pPr>
      <w:pStyle w:val="Nagwek"/>
      <w:rPr>
        <w:lang w:val="en-GB"/>
      </w:rPr>
    </w:pPr>
  </w:p>
  <w:p w14:paraId="33D311BC" w14:textId="77777777" w:rsidR="00F92ECA" w:rsidRPr="005D2323" w:rsidRDefault="00F92ECA" w:rsidP="00A47F4D">
    <w:pPr>
      <w:pStyle w:val="Nagwek"/>
      <w:rPr>
        <w:lang w:val="en-GB"/>
      </w:rPr>
    </w:pPr>
  </w:p>
  <w:p w14:paraId="435C369F" w14:textId="77777777" w:rsidR="00F92ECA" w:rsidRPr="005D2323" w:rsidRDefault="00F92ECA" w:rsidP="00A47F4D">
    <w:pPr>
      <w:pStyle w:val="Nagwek"/>
      <w:rPr>
        <w:lang w:val="en-GB"/>
      </w:rPr>
    </w:pPr>
    <w:r w:rsidRPr="005D2323">
      <w:rPr>
        <w:noProof/>
        <w:lang w:val="pl-PL" w:eastAsia="pl-PL"/>
      </w:rPr>
      <w:drawing>
        <wp:anchor distT="0" distB="0" distL="114300" distR="114300" simplePos="0" relativeHeight="251658240" behindDoc="1" locked="0" layoutInCell="1" allowOverlap="1" wp14:anchorId="53A6ACBA" wp14:editId="3C3D357C">
          <wp:simplePos x="0" y="0"/>
          <wp:positionH relativeFrom="page">
            <wp:align>center</wp:align>
          </wp:positionH>
          <wp:positionV relativeFrom="page">
            <wp:posOffset>0</wp:posOffset>
          </wp:positionV>
          <wp:extent cx="1803600" cy="1440000"/>
          <wp:effectExtent l="0" t="0" r="6350" b="825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1803600" cy="1440000"/>
                  </a:xfrm>
                  <a:prstGeom prst="rect">
                    <a:avLst/>
                  </a:prstGeom>
                </pic:spPr>
              </pic:pic>
            </a:graphicData>
          </a:graphic>
          <wp14:sizeRelH relativeFrom="margin">
            <wp14:pctWidth>0</wp14:pctWidth>
          </wp14:sizeRelH>
          <wp14:sizeRelV relativeFrom="margin">
            <wp14:pctHeight>0</wp14:pctHeight>
          </wp14:sizeRelV>
        </wp:anchor>
      </w:drawing>
    </w:r>
  </w:p>
  <w:p w14:paraId="43A84160" w14:textId="77777777" w:rsidR="00F92ECA" w:rsidRPr="005D2323" w:rsidRDefault="00F92ECA" w:rsidP="00A47F4D">
    <w:pPr>
      <w:pStyle w:val="Nagwek"/>
      <w:rPr>
        <w:lang w:val="en-GB"/>
      </w:rPr>
    </w:pPr>
  </w:p>
  <w:p w14:paraId="28E0C64F" w14:textId="77777777" w:rsidR="00F92ECA" w:rsidRPr="005D2323" w:rsidRDefault="00F92ECA" w:rsidP="00A47F4D">
    <w:pPr>
      <w:pStyle w:val="Nagwek"/>
      <w:rPr>
        <w:lang w:val="en-GB"/>
      </w:rPr>
    </w:pPr>
  </w:p>
  <w:p w14:paraId="522494A6" w14:textId="77777777" w:rsidR="00F92ECA" w:rsidRPr="005D2323" w:rsidRDefault="00F92ECA" w:rsidP="00A47F4D">
    <w:pPr>
      <w:pStyle w:val="Nagwek"/>
      <w:rPr>
        <w:lang w:val="en-GB"/>
      </w:rPr>
    </w:pPr>
  </w:p>
  <w:p w14:paraId="606776E0" w14:textId="77777777" w:rsidR="00F92ECA" w:rsidRPr="005D2323" w:rsidRDefault="00F92ECA" w:rsidP="00FA024F">
    <w:pPr>
      <w:pStyle w:val="Nagwek"/>
      <w:spacing w:line="270" w:lineRule="exact"/>
      <w:rPr>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4DFDB" w14:textId="77777777" w:rsidR="00F92ECA" w:rsidRDefault="00F92ECA">
    <w:pPr>
      <w:pStyle w:val="Nagwek"/>
    </w:pPr>
  </w:p>
  <w:p w14:paraId="192CC481" w14:textId="77777777" w:rsidR="00F92ECA" w:rsidRDefault="00F92ECA">
    <w:pPr>
      <w:pStyle w:val="Nagwek"/>
    </w:pPr>
  </w:p>
  <w:p w14:paraId="657B4A93" w14:textId="77777777" w:rsidR="00F92ECA" w:rsidRDefault="00F92ECA">
    <w:pPr>
      <w:pStyle w:val="Nagwek"/>
    </w:pPr>
  </w:p>
  <w:p w14:paraId="45E8CEB5" w14:textId="77777777" w:rsidR="00F92ECA" w:rsidRDefault="00F92ECA">
    <w:pPr>
      <w:pStyle w:val="Nagwek"/>
    </w:pPr>
  </w:p>
  <w:p w14:paraId="0F4EBF69" w14:textId="77777777" w:rsidR="00F92ECA" w:rsidRDefault="00F92ECA">
    <w:pPr>
      <w:pStyle w:val="Nagwek"/>
    </w:pPr>
  </w:p>
  <w:p w14:paraId="5B11E7D3" w14:textId="77777777" w:rsidR="00F92ECA" w:rsidRDefault="00F92ECA">
    <w:pPr>
      <w:pStyle w:val="Nagwek"/>
    </w:pPr>
  </w:p>
  <w:p w14:paraId="58F76AD5" w14:textId="77777777" w:rsidR="00F92ECA" w:rsidRDefault="00F92ECA">
    <w:pPr>
      <w:pStyle w:val="Nagwek"/>
    </w:pPr>
  </w:p>
  <w:p w14:paraId="26CA5DC6" w14:textId="77777777" w:rsidR="00F92ECA" w:rsidRPr="00F7646B" w:rsidRDefault="00F92ECA" w:rsidP="00DB38D1">
    <w:pPr>
      <w:pStyle w:val="Nagwek"/>
      <w:spacing w:line="27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A477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202D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9054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E434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06B9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48E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18E8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BA9D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2A69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2060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1D4A9F"/>
    <w:multiLevelType w:val="hybridMultilevel"/>
    <w:tmpl w:val="F280B2FE"/>
    <w:lvl w:ilvl="0" w:tplc="237226DC">
      <w:start w:val="1"/>
      <w:numFmt w:val="bullet"/>
      <w:lvlText w:val="–"/>
      <w:lvlJc w:val="left"/>
      <w:pPr>
        <w:ind w:left="720" w:hanging="360"/>
      </w:pPr>
      <w:rPr>
        <w:rFonts w:ascii="Gotham Black" w:hAnsi="Gotham Black" w:hint="default"/>
        <w:caps w:val="0"/>
        <w:strike w:val="0"/>
        <w:dstrike w:val="0"/>
        <w:vanish w:val="0"/>
        <w:sz w:val="40"/>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9532C84"/>
    <w:multiLevelType w:val="multilevel"/>
    <w:tmpl w:val="DFFC4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8C366D"/>
    <w:multiLevelType w:val="hybridMultilevel"/>
    <w:tmpl w:val="A08C9E06"/>
    <w:lvl w:ilvl="0" w:tplc="9DC629C2">
      <w:start w:val="1"/>
      <w:numFmt w:val="bullet"/>
      <w:lvlText w:val="–"/>
      <w:lvlJc w:val="left"/>
      <w:pPr>
        <w:ind w:left="720" w:hanging="360"/>
      </w:pPr>
      <w:rPr>
        <w:rFonts w:asciiTheme="majorHAnsi" w:hAnsiTheme="majorHAnsi" w:hint="default"/>
        <w:caps w:val="0"/>
        <w:strike w:val="0"/>
        <w:dstrike w:val="0"/>
        <w:vanish w:val="0"/>
        <w:sz w:val="28"/>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88B5EF3"/>
    <w:multiLevelType w:val="hybridMultilevel"/>
    <w:tmpl w:val="D4DA5AFE"/>
    <w:lvl w:ilvl="0" w:tplc="7B62D2AC">
      <w:start w:val="1"/>
      <w:numFmt w:val="bullet"/>
      <w:lvlText w:val="–"/>
      <w:lvlJc w:val="left"/>
      <w:pPr>
        <w:ind w:left="720" w:hanging="360"/>
      </w:pPr>
      <w:rPr>
        <w:rFonts w:ascii="Gotham Black" w:hAnsi="Gotham Black" w:hint="default"/>
        <w:sz w:val="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2B1460F"/>
    <w:multiLevelType w:val="hybridMultilevel"/>
    <w:tmpl w:val="D0F28BBC"/>
    <w:lvl w:ilvl="0" w:tplc="9FC28624">
      <w:start w:val="1"/>
      <w:numFmt w:val="bullet"/>
      <w:lvlText w:val="–"/>
      <w:lvlJc w:val="left"/>
      <w:pPr>
        <w:ind w:left="720" w:hanging="360"/>
      </w:pPr>
      <w:rPr>
        <w:rFonts w:ascii="Gotham Black" w:hAnsi="Gotham Black"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8A94287"/>
    <w:multiLevelType w:val="hybridMultilevel"/>
    <w:tmpl w:val="E8DCEFBA"/>
    <w:lvl w:ilvl="0" w:tplc="33CC7510">
      <w:start w:val="1"/>
      <w:numFmt w:val="bullet"/>
      <w:pStyle w:val="Textepuce"/>
      <w:lvlText w:val="–"/>
      <w:lvlJc w:val="left"/>
      <w:pPr>
        <w:ind w:left="700" w:hanging="360"/>
      </w:pPr>
      <w:rPr>
        <w:rFonts w:asciiTheme="majorHAnsi" w:hAnsiTheme="majorHAnsi" w:cs="Times New Roman" w:hint="default"/>
        <w:caps w:val="0"/>
        <w:strike w:val="0"/>
        <w:dstrike w:val="0"/>
        <w:vanish w:val="0"/>
        <w:color w:val="00AAFF" w:themeColor="accent2"/>
        <w:sz w:val="28"/>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4"/>
  </w:num>
  <w:num w:numId="12">
    <w:abstractNumId w:val="13"/>
  </w:num>
  <w:num w:numId="13">
    <w:abstractNumId w:val="10"/>
  </w:num>
  <w:num w:numId="14">
    <w:abstractNumId w:val="12"/>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95F"/>
    <w:rsid w:val="00000C8F"/>
    <w:rsid w:val="00002CD3"/>
    <w:rsid w:val="00004D5E"/>
    <w:rsid w:val="00012031"/>
    <w:rsid w:val="00023C81"/>
    <w:rsid w:val="00036D45"/>
    <w:rsid w:val="00040390"/>
    <w:rsid w:val="00040852"/>
    <w:rsid w:val="00051176"/>
    <w:rsid w:val="00062AAE"/>
    <w:rsid w:val="00065593"/>
    <w:rsid w:val="00065FB5"/>
    <w:rsid w:val="00070406"/>
    <w:rsid w:val="000708FD"/>
    <w:rsid w:val="0007412F"/>
    <w:rsid w:val="00075CB5"/>
    <w:rsid w:val="00076C07"/>
    <w:rsid w:val="00076DD0"/>
    <w:rsid w:val="0008036A"/>
    <w:rsid w:val="00081A29"/>
    <w:rsid w:val="00083D16"/>
    <w:rsid w:val="000850FD"/>
    <w:rsid w:val="0009061D"/>
    <w:rsid w:val="00093007"/>
    <w:rsid w:val="000A1580"/>
    <w:rsid w:val="000A687D"/>
    <w:rsid w:val="000A722D"/>
    <w:rsid w:val="000B23A3"/>
    <w:rsid w:val="000C2302"/>
    <w:rsid w:val="000C2B9C"/>
    <w:rsid w:val="000C6B33"/>
    <w:rsid w:val="000C711B"/>
    <w:rsid w:val="000C7316"/>
    <w:rsid w:val="000D328D"/>
    <w:rsid w:val="000D4576"/>
    <w:rsid w:val="000D467A"/>
    <w:rsid w:val="000D6A29"/>
    <w:rsid w:val="000E1623"/>
    <w:rsid w:val="000F02A0"/>
    <w:rsid w:val="000F6885"/>
    <w:rsid w:val="00100EFD"/>
    <w:rsid w:val="00105B3F"/>
    <w:rsid w:val="001064AF"/>
    <w:rsid w:val="0011577B"/>
    <w:rsid w:val="001172B2"/>
    <w:rsid w:val="001213BB"/>
    <w:rsid w:val="00122277"/>
    <w:rsid w:val="00122A78"/>
    <w:rsid w:val="00125FCD"/>
    <w:rsid w:val="0013370D"/>
    <w:rsid w:val="001368A1"/>
    <w:rsid w:val="00143A50"/>
    <w:rsid w:val="00146E05"/>
    <w:rsid w:val="001605B9"/>
    <w:rsid w:val="001611EE"/>
    <w:rsid w:val="001668DB"/>
    <w:rsid w:val="00174910"/>
    <w:rsid w:val="00192419"/>
    <w:rsid w:val="00192A78"/>
    <w:rsid w:val="00192E32"/>
    <w:rsid w:val="0019658F"/>
    <w:rsid w:val="001979DA"/>
    <w:rsid w:val="001A4835"/>
    <w:rsid w:val="001A5AE0"/>
    <w:rsid w:val="001B2AEA"/>
    <w:rsid w:val="001C03A0"/>
    <w:rsid w:val="001C3AB4"/>
    <w:rsid w:val="001D71EE"/>
    <w:rsid w:val="001E4F37"/>
    <w:rsid w:val="001F4747"/>
    <w:rsid w:val="001F5ED4"/>
    <w:rsid w:val="002019AB"/>
    <w:rsid w:val="00224302"/>
    <w:rsid w:val="00233B5F"/>
    <w:rsid w:val="00237832"/>
    <w:rsid w:val="00251D84"/>
    <w:rsid w:val="002625E9"/>
    <w:rsid w:val="0027247C"/>
    <w:rsid w:val="0027261A"/>
    <w:rsid w:val="00275FC4"/>
    <w:rsid w:val="00282FC6"/>
    <w:rsid w:val="002A3264"/>
    <w:rsid w:val="002A5289"/>
    <w:rsid w:val="002B234A"/>
    <w:rsid w:val="002B27DA"/>
    <w:rsid w:val="002D185B"/>
    <w:rsid w:val="002D2268"/>
    <w:rsid w:val="002D3C69"/>
    <w:rsid w:val="002D5991"/>
    <w:rsid w:val="002D5BD8"/>
    <w:rsid w:val="002D5C1D"/>
    <w:rsid w:val="002D76D9"/>
    <w:rsid w:val="002E3918"/>
    <w:rsid w:val="002E5B2F"/>
    <w:rsid w:val="002E6B1B"/>
    <w:rsid w:val="002F2A6D"/>
    <w:rsid w:val="00305B46"/>
    <w:rsid w:val="00306390"/>
    <w:rsid w:val="003076F7"/>
    <w:rsid w:val="003121AC"/>
    <w:rsid w:val="00317240"/>
    <w:rsid w:val="0032435A"/>
    <w:rsid w:val="00326046"/>
    <w:rsid w:val="00326B56"/>
    <w:rsid w:val="00333415"/>
    <w:rsid w:val="00335A44"/>
    <w:rsid w:val="0033606D"/>
    <w:rsid w:val="00345236"/>
    <w:rsid w:val="003479CB"/>
    <w:rsid w:val="003515FA"/>
    <w:rsid w:val="00351648"/>
    <w:rsid w:val="00352ECA"/>
    <w:rsid w:val="00352FDD"/>
    <w:rsid w:val="00353E47"/>
    <w:rsid w:val="0035492D"/>
    <w:rsid w:val="00354FC0"/>
    <w:rsid w:val="00355A45"/>
    <w:rsid w:val="0036595D"/>
    <w:rsid w:val="00365F51"/>
    <w:rsid w:val="00367CEF"/>
    <w:rsid w:val="003750F0"/>
    <w:rsid w:val="003809B0"/>
    <w:rsid w:val="003811B9"/>
    <w:rsid w:val="003821EA"/>
    <w:rsid w:val="003847F3"/>
    <w:rsid w:val="00386092"/>
    <w:rsid w:val="003865B7"/>
    <w:rsid w:val="003906F5"/>
    <w:rsid w:val="003937A7"/>
    <w:rsid w:val="0039452F"/>
    <w:rsid w:val="00394A67"/>
    <w:rsid w:val="00396690"/>
    <w:rsid w:val="00396AF8"/>
    <w:rsid w:val="00397EFF"/>
    <w:rsid w:val="003A43E8"/>
    <w:rsid w:val="003A6BFF"/>
    <w:rsid w:val="003B38BB"/>
    <w:rsid w:val="003B4424"/>
    <w:rsid w:val="003B794E"/>
    <w:rsid w:val="003C2409"/>
    <w:rsid w:val="003C7C34"/>
    <w:rsid w:val="003D120D"/>
    <w:rsid w:val="003D156F"/>
    <w:rsid w:val="003E2E02"/>
    <w:rsid w:val="003E3D53"/>
    <w:rsid w:val="003F1961"/>
    <w:rsid w:val="004026CC"/>
    <w:rsid w:val="00404848"/>
    <w:rsid w:val="00404B7F"/>
    <w:rsid w:val="004122B6"/>
    <w:rsid w:val="00415A1E"/>
    <w:rsid w:val="00423970"/>
    <w:rsid w:val="00431335"/>
    <w:rsid w:val="0043293C"/>
    <w:rsid w:val="00441F75"/>
    <w:rsid w:val="00443FBD"/>
    <w:rsid w:val="004558BB"/>
    <w:rsid w:val="00462A3B"/>
    <w:rsid w:val="00463446"/>
    <w:rsid w:val="004642F8"/>
    <w:rsid w:val="0046543F"/>
    <w:rsid w:val="004733E5"/>
    <w:rsid w:val="004742C3"/>
    <w:rsid w:val="004874E6"/>
    <w:rsid w:val="00490318"/>
    <w:rsid w:val="004920F5"/>
    <w:rsid w:val="004956A3"/>
    <w:rsid w:val="004A6C3C"/>
    <w:rsid w:val="004D07CE"/>
    <w:rsid w:val="004D169C"/>
    <w:rsid w:val="004D208D"/>
    <w:rsid w:val="004E5EE3"/>
    <w:rsid w:val="004F135C"/>
    <w:rsid w:val="004F204B"/>
    <w:rsid w:val="004F4D61"/>
    <w:rsid w:val="004F60CE"/>
    <w:rsid w:val="005035E1"/>
    <w:rsid w:val="005068E9"/>
    <w:rsid w:val="005164F9"/>
    <w:rsid w:val="0052123C"/>
    <w:rsid w:val="00522652"/>
    <w:rsid w:val="005232F9"/>
    <w:rsid w:val="0052465B"/>
    <w:rsid w:val="00531690"/>
    <w:rsid w:val="00536210"/>
    <w:rsid w:val="00536A74"/>
    <w:rsid w:val="00541D63"/>
    <w:rsid w:val="00550AF2"/>
    <w:rsid w:val="00552F07"/>
    <w:rsid w:val="005554F1"/>
    <w:rsid w:val="0055629F"/>
    <w:rsid w:val="0055759B"/>
    <w:rsid w:val="00560F81"/>
    <w:rsid w:val="00562B4F"/>
    <w:rsid w:val="005630E3"/>
    <w:rsid w:val="00563AF2"/>
    <w:rsid w:val="00573D99"/>
    <w:rsid w:val="005825F2"/>
    <w:rsid w:val="00583821"/>
    <w:rsid w:val="00585399"/>
    <w:rsid w:val="00596212"/>
    <w:rsid w:val="0059711E"/>
    <w:rsid w:val="005A3102"/>
    <w:rsid w:val="005B03A8"/>
    <w:rsid w:val="005B26C6"/>
    <w:rsid w:val="005B7C6C"/>
    <w:rsid w:val="005C3B32"/>
    <w:rsid w:val="005C5070"/>
    <w:rsid w:val="005C55DF"/>
    <w:rsid w:val="005D2323"/>
    <w:rsid w:val="005D2618"/>
    <w:rsid w:val="005E1C4B"/>
    <w:rsid w:val="005E2C6D"/>
    <w:rsid w:val="005E3E66"/>
    <w:rsid w:val="005F0D4A"/>
    <w:rsid w:val="005F12DA"/>
    <w:rsid w:val="00604CC5"/>
    <w:rsid w:val="006059CB"/>
    <w:rsid w:val="0060745E"/>
    <w:rsid w:val="00621525"/>
    <w:rsid w:val="00625AFC"/>
    <w:rsid w:val="00631005"/>
    <w:rsid w:val="00633F2B"/>
    <w:rsid w:val="00640727"/>
    <w:rsid w:val="006432F8"/>
    <w:rsid w:val="00646376"/>
    <w:rsid w:val="006519E1"/>
    <w:rsid w:val="00652598"/>
    <w:rsid w:val="00673E67"/>
    <w:rsid w:val="006811A4"/>
    <w:rsid w:val="006826C1"/>
    <w:rsid w:val="006A1593"/>
    <w:rsid w:val="006A5FDF"/>
    <w:rsid w:val="006A6CCF"/>
    <w:rsid w:val="006B00D7"/>
    <w:rsid w:val="006B4D73"/>
    <w:rsid w:val="006B64A3"/>
    <w:rsid w:val="006C1A39"/>
    <w:rsid w:val="006D3B10"/>
    <w:rsid w:val="006D6A9F"/>
    <w:rsid w:val="006E27CF"/>
    <w:rsid w:val="006E5F6C"/>
    <w:rsid w:val="006E74D1"/>
    <w:rsid w:val="006F069D"/>
    <w:rsid w:val="006F61AF"/>
    <w:rsid w:val="00702726"/>
    <w:rsid w:val="00711831"/>
    <w:rsid w:val="00714945"/>
    <w:rsid w:val="00714A6D"/>
    <w:rsid w:val="00720EB8"/>
    <w:rsid w:val="007216A5"/>
    <w:rsid w:val="00721B57"/>
    <w:rsid w:val="007222E4"/>
    <w:rsid w:val="007310D3"/>
    <w:rsid w:val="00735409"/>
    <w:rsid w:val="00742970"/>
    <w:rsid w:val="00743F26"/>
    <w:rsid w:val="00744AF9"/>
    <w:rsid w:val="00747F71"/>
    <w:rsid w:val="00752CA9"/>
    <w:rsid w:val="00754F67"/>
    <w:rsid w:val="00760380"/>
    <w:rsid w:val="007612D6"/>
    <w:rsid w:val="0076590C"/>
    <w:rsid w:val="007665F7"/>
    <w:rsid w:val="007666DA"/>
    <w:rsid w:val="007760F1"/>
    <w:rsid w:val="007835A0"/>
    <w:rsid w:val="0078427B"/>
    <w:rsid w:val="00785962"/>
    <w:rsid w:val="00792A93"/>
    <w:rsid w:val="007A4180"/>
    <w:rsid w:val="007A696F"/>
    <w:rsid w:val="007C31CD"/>
    <w:rsid w:val="007C4C11"/>
    <w:rsid w:val="007C56CB"/>
    <w:rsid w:val="007C6B5B"/>
    <w:rsid w:val="007D339F"/>
    <w:rsid w:val="007D7598"/>
    <w:rsid w:val="007E129B"/>
    <w:rsid w:val="007E5924"/>
    <w:rsid w:val="007E5A5D"/>
    <w:rsid w:val="007E73E7"/>
    <w:rsid w:val="007F78EE"/>
    <w:rsid w:val="008149BA"/>
    <w:rsid w:val="00814DE8"/>
    <w:rsid w:val="00815DB1"/>
    <w:rsid w:val="0081683F"/>
    <w:rsid w:val="00821093"/>
    <w:rsid w:val="00821A6D"/>
    <w:rsid w:val="00824CBF"/>
    <w:rsid w:val="00826555"/>
    <w:rsid w:val="00827756"/>
    <w:rsid w:val="008301BC"/>
    <w:rsid w:val="008317AA"/>
    <w:rsid w:val="008338C9"/>
    <w:rsid w:val="0083653E"/>
    <w:rsid w:val="00840603"/>
    <w:rsid w:val="0084231F"/>
    <w:rsid w:val="00851EAB"/>
    <w:rsid w:val="008735EB"/>
    <w:rsid w:val="008850C1"/>
    <w:rsid w:val="00885784"/>
    <w:rsid w:val="008A6322"/>
    <w:rsid w:val="008A67D3"/>
    <w:rsid w:val="008A6EED"/>
    <w:rsid w:val="008B30D1"/>
    <w:rsid w:val="008C0B76"/>
    <w:rsid w:val="008C4143"/>
    <w:rsid w:val="008C5914"/>
    <w:rsid w:val="008D1132"/>
    <w:rsid w:val="008D139F"/>
    <w:rsid w:val="008D5B51"/>
    <w:rsid w:val="008D79E4"/>
    <w:rsid w:val="008F54EF"/>
    <w:rsid w:val="008F7032"/>
    <w:rsid w:val="008F70CF"/>
    <w:rsid w:val="009049A1"/>
    <w:rsid w:val="0090770B"/>
    <w:rsid w:val="00910955"/>
    <w:rsid w:val="00912DAB"/>
    <w:rsid w:val="00916E4C"/>
    <w:rsid w:val="0092124E"/>
    <w:rsid w:val="009220BF"/>
    <w:rsid w:val="00924E73"/>
    <w:rsid w:val="00926547"/>
    <w:rsid w:val="00926BC9"/>
    <w:rsid w:val="00934AC0"/>
    <w:rsid w:val="00934FF5"/>
    <w:rsid w:val="00940606"/>
    <w:rsid w:val="009431DC"/>
    <w:rsid w:val="009442AC"/>
    <w:rsid w:val="00946A52"/>
    <w:rsid w:val="00961330"/>
    <w:rsid w:val="009628AD"/>
    <w:rsid w:val="0096502F"/>
    <w:rsid w:val="009667B2"/>
    <w:rsid w:val="009705F1"/>
    <w:rsid w:val="00971591"/>
    <w:rsid w:val="00976003"/>
    <w:rsid w:val="009764FA"/>
    <w:rsid w:val="0097699B"/>
    <w:rsid w:val="0097724E"/>
    <w:rsid w:val="00977B96"/>
    <w:rsid w:val="009805D9"/>
    <w:rsid w:val="00985F4F"/>
    <w:rsid w:val="00987986"/>
    <w:rsid w:val="0099444A"/>
    <w:rsid w:val="00995830"/>
    <w:rsid w:val="009A0888"/>
    <w:rsid w:val="009A5EC0"/>
    <w:rsid w:val="009B0A3C"/>
    <w:rsid w:val="009B1063"/>
    <w:rsid w:val="009B6CE3"/>
    <w:rsid w:val="009C4E9C"/>
    <w:rsid w:val="009C5C10"/>
    <w:rsid w:val="009C68A5"/>
    <w:rsid w:val="009D12E4"/>
    <w:rsid w:val="009D395F"/>
    <w:rsid w:val="009D6031"/>
    <w:rsid w:val="009E7123"/>
    <w:rsid w:val="009E7A0D"/>
    <w:rsid w:val="009F723A"/>
    <w:rsid w:val="009F7EDF"/>
    <w:rsid w:val="00A01312"/>
    <w:rsid w:val="00A027D0"/>
    <w:rsid w:val="00A1132B"/>
    <w:rsid w:val="00A16F54"/>
    <w:rsid w:val="00A17125"/>
    <w:rsid w:val="00A204F6"/>
    <w:rsid w:val="00A2312A"/>
    <w:rsid w:val="00A2757B"/>
    <w:rsid w:val="00A303AF"/>
    <w:rsid w:val="00A41B12"/>
    <w:rsid w:val="00A45C35"/>
    <w:rsid w:val="00A47199"/>
    <w:rsid w:val="00A47F4D"/>
    <w:rsid w:val="00A47FE3"/>
    <w:rsid w:val="00A62FB5"/>
    <w:rsid w:val="00A633FC"/>
    <w:rsid w:val="00A6604B"/>
    <w:rsid w:val="00A66EA1"/>
    <w:rsid w:val="00A70313"/>
    <w:rsid w:val="00A76B41"/>
    <w:rsid w:val="00A771C4"/>
    <w:rsid w:val="00A80E77"/>
    <w:rsid w:val="00A83A37"/>
    <w:rsid w:val="00A8428E"/>
    <w:rsid w:val="00A85502"/>
    <w:rsid w:val="00A915B3"/>
    <w:rsid w:val="00AA7C9B"/>
    <w:rsid w:val="00AB5E74"/>
    <w:rsid w:val="00AC1EAF"/>
    <w:rsid w:val="00AC2DB6"/>
    <w:rsid w:val="00AC4E78"/>
    <w:rsid w:val="00AC5A06"/>
    <w:rsid w:val="00AC68BD"/>
    <w:rsid w:val="00AC6C0B"/>
    <w:rsid w:val="00AD1E7A"/>
    <w:rsid w:val="00AD58A7"/>
    <w:rsid w:val="00AD5AD1"/>
    <w:rsid w:val="00AD65DF"/>
    <w:rsid w:val="00AE0AF2"/>
    <w:rsid w:val="00AE2C6E"/>
    <w:rsid w:val="00AF6691"/>
    <w:rsid w:val="00B008AE"/>
    <w:rsid w:val="00B01290"/>
    <w:rsid w:val="00B01FA0"/>
    <w:rsid w:val="00B04D26"/>
    <w:rsid w:val="00B071B4"/>
    <w:rsid w:val="00B14E43"/>
    <w:rsid w:val="00B15DE2"/>
    <w:rsid w:val="00B2150F"/>
    <w:rsid w:val="00B26789"/>
    <w:rsid w:val="00B359F4"/>
    <w:rsid w:val="00B37146"/>
    <w:rsid w:val="00B377C3"/>
    <w:rsid w:val="00B37814"/>
    <w:rsid w:val="00B37E0E"/>
    <w:rsid w:val="00B4760F"/>
    <w:rsid w:val="00B50986"/>
    <w:rsid w:val="00B5170A"/>
    <w:rsid w:val="00B5296C"/>
    <w:rsid w:val="00B53F81"/>
    <w:rsid w:val="00B5402A"/>
    <w:rsid w:val="00B706C7"/>
    <w:rsid w:val="00B75B31"/>
    <w:rsid w:val="00B77598"/>
    <w:rsid w:val="00B9056E"/>
    <w:rsid w:val="00B92350"/>
    <w:rsid w:val="00B957AF"/>
    <w:rsid w:val="00BA6623"/>
    <w:rsid w:val="00BB3742"/>
    <w:rsid w:val="00BC5FAD"/>
    <w:rsid w:val="00BD0B37"/>
    <w:rsid w:val="00BD0EC2"/>
    <w:rsid w:val="00BD6667"/>
    <w:rsid w:val="00BE4614"/>
    <w:rsid w:val="00BE6883"/>
    <w:rsid w:val="00C055F8"/>
    <w:rsid w:val="00C074DE"/>
    <w:rsid w:val="00C12E00"/>
    <w:rsid w:val="00C2172F"/>
    <w:rsid w:val="00C3118D"/>
    <w:rsid w:val="00C3478B"/>
    <w:rsid w:val="00C35992"/>
    <w:rsid w:val="00C37E2C"/>
    <w:rsid w:val="00C40B8D"/>
    <w:rsid w:val="00C415A8"/>
    <w:rsid w:val="00C46F24"/>
    <w:rsid w:val="00C53888"/>
    <w:rsid w:val="00C53B81"/>
    <w:rsid w:val="00C53DAB"/>
    <w:rsid w:val="00C54EFA"/>
    <w:rsid w:val="00C55948"/>
    <w:rsid w:val="00C5716E"/>
    <w:rsid w:val="00C613CA"/>
    <w:rsid w:val="00C62599"/>
    <w:rsid w:val="00C62C3E"/>
    <w:rsid w:val="00C62C8B"/>
    <w:rsid w:val="00C6332B"/>
    <w:rsid w:val="00C847D9"/>
    <w:rsid w:val="00C86EEF"/>
    <w:rsid w:val="00C87321"/>
    <w:rsid w:val="00C93BCC"/>
    <w:rsid w:val="00C94756"/>
    <w:rsid w:val="00C95453"/>
    <w:rsid w:val="00CB1E70"/>
    <w:rsid w:val="00CC03E6"/>
    <w:rsid w:val="00CC6FC7"/>
    <w:rsid w:val="00CD0BD2"/>
    <w:rsid w:val="00CD3666"/>
    <w:rsid w:val="00CE0F75"/>
    <w:rsid w:val="00CE44B4"/>
    <w:rsid w:val="00CF3A9F"/>
    <w:rsid w:val="00CF4C9E"/>
    <w:rsid w:val="00CF6C33"/>
    <w:rsid w:val="00CF6F72"/>
    <w:rsid w:val="00D02C27"/>
    <w:rsid w:val="00D03409"/>
    <w:rsid w:val="00D14655"/>
    <w:rsid w:val="00D20A74"/>
    <w:rsid w:val="00D212D4"/>
    <w:rsid w:val="00D300A3"/>
    <w:rsid w:val="00D308AB"/>
    <w:rsid w:val="00D40C6C"/>
    <w:rsid w:val="00D52947"/>
    <w:rsid w:val="00D52B7B"/>
    <w:rsid w:val="00D54A35"/>
    <w:rsid w:val="00D56F31"/>
    <w:rsid w:val="00D601F8"/>
    <w:rsid w:val="00D609AE"/>
    <w:rsid w:val="00D65EFB"/>
    <w:rsid w:val="00D67B90"/>
    <w:rsid w:val="00D76CCF"/>
    <w:rsid w:val="00D77EF6"/>
    <w:rsid w:val="00D80D16"/>
    <w:rsid w:val="00D85F03"/>
    <w:rsid w:val="00D8775D"/>
    <w:rsid w:val="00D91E09"/>
    <w:rsid w:val="00D922A4"/>
    <w:rsid w:val="00D93460"/>
    <w:rsid w:val="00DA5411"/>
    <w:rsid w:val="00DA61AD"/>
    <w:rsid w:val="00DA6AC9"/>
    <w:rsid w:val="00DB2A24"/>
    <w:rsid w:val="00DB38D1"/>
    <w:rsid w:val="00DB5873"/>
    <w:rsid w:val="00DB6117"/>
    <w:rsid w:val="00DC2364"/>
    <w:rsid w:val="00DC29DB"/>
    <w:rsid w:val="00DC6193"/>
    <w:rsid w:val="00DD0026"/>
    <w:rsid w:val="00DD1F8D"/>
    <w:rsid w:val="00DD2FF3"/>
    <w:rsid w:val="00DD4A1F"/>
    <w:rsid w:val="00DD4EBD"/>
    <w:rsid w:val="00DD62E5"/>
    <w:rsid w:val="00DD6327"/>
    <w:rsid w:val="00DE1589"/>
    <w:rsid w:val="00DE2360"/>
    <w:rsid w:val="00DE2A2A"/>
    <w:rsid w:val="00DE2B52"/>
    <w:rsid w:val="00DF16C5"/>
    <w:rsid w:val="00DF4C32"/>
    <w:rsid w:val="00DF79FB"/>
    <w:rsid w:val="00E017AF"/>
    <w:rsid w:val="00E04C1D"/>
    <w:rsid w:val="00E253B6"/>
    <w:rsid w:val="00E25A9E"/>
    <w:rsid w:val="00E268F0"/>
    <w:rsid w:val="00E34CFC"/>
    <w:rsid w:val="00E3674A"/>
    <w:rsid w:val="00E36CC9"/>
    <w:rsid w:val="00E42B2C"/>
    <w:rsid w:val="00E42BFD"/>
    <w:rsid w:val="00E5390A"/>
    <w:rsid w:val="00E53E93"/>
    <w:rsid w:val="00E560E6"/>
    <w:rsid w:val="00E72A79"/>
    <w:rsid w:val="00E72C79"/>
    <w:rsid w:val="00E77D1C"/>
    <w:rsid w:val="00E806B3"/>
    <w:rsid w:val="00E85FE7"/>
    <w:rsid w:val="00E86386"/>
    <w:rsid w:val="00E9048F"/>
    <w:rsid w:val="00EA6A8F"/>
    <w:rsid w:val="00EB5A77"/>
    <w:rsid w:val="00EB73C0"/>
    <w:rsid w:val="00EB7CED"/>
    <w:rsid w:val="00EC00B4"/>
    <w:rsid w:val="00EC2106"/>
    <w:rsid w:val="00EC221F"/>
    <w:rsid w:val="00EC6B93"/>
    <w:rsid w:val="00ED391C"/>
    <w:rsid w:val="00ED3B21"/>
    <w:rsid w:val="00ED6D87"/>
    <w:rsid w:val="00ED7F36"/>
    <w:rsid w:val="00EE0129"/>
    <w:rsid w:val="00EE5B21"/>
    <w:rsid w:val="00EF3B1B"/>
    <w:rsid w:val="00F024B3"/>
    <w:rsid w:val="00F058EF"/>
    <w:rsid w:val="00F06C6B"/>
    <w:rsid w:val="00F07451"/>
    <w:rsid w:val="00F12C9D"/>
    <w:rsid w:val="00F176C2"/>
    <w:rsid w:val="00F21227"/>
    <w:rsid w:val="00F2418E"/>
    <w:rsid w:val="00F36C31"/>
    <w:rsid w:val="00F45E8D"/>
    <w:rsid w:val="00F47D26"/>
    <w:rsid w:val="00F50990"/>
    <w:rsid w:val="00F51D4C"/>
    <w:rsid w:val="00F51E99"/>
    <w:rsid w:val="00F52C65"/>
    <w:rsid w:val="00F65A1D"/>
    <w:rsid w:val="00F65A90"/>
    <w:rsid w:val="00F7646B"/>
    <w:rsid w:val="00F77F03"/>
    <w:rsid w:val="00F80A72"/>
    <w:rsid w:val="00F85850"/>
    <w:rsid w:val="00F90485"/>
    <w:rsid w:val="00F90F10"/>
    <w:rsid w:val="00F92ECA"/>
    <w:rsid w:val="00F93D3F"/>
    <w:rsid w:val="00F97DD5"/>
    <w:rsid w:val="00FA024F"/>
    <w:rsid w:val="00FA1360"/>
    <w:rsid w:val="00FA28DC"/>
    <w:rsid w:val="00FA2E35"/>
    <w:rsid w:val="00FA455C"/>
    <w:rsid w:val="00FB4BBC"/>
    <w:rsid w:val="00FC2C9A"/>
    <w:rsid w:val="00FC315F"/>
    <w:rsid w:val="00FC77E4"/>
    <w:rsid w:val="00FD63AB"/>
    <w:rsid w:val="00FD6E1E"/>
    <w:rsid w:val="00FE5809"/>
    <w:rsid w:val="00FF298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F6B35"/>
  <w15:docId w15:val="{F928B76C-477A-224D-9F61-EBE4EAE52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92ECA"/>
    <w:pPr>
      <w:spacing w:after="0" w:line="240" w:lineRule="atLeast"/>
    </w:pPr>
    <w:rPr>
      <w:color w:val="67AE6E" w:themeColor="background2"/>
      <w:sz w:val="20"/>
    </w:rPr>
  </w:style>
  <w:style w:type="paragraph" w:styleId="Nagwek1">
    <w:name w:val="heading 1"/>
    <w:basedOn w:val="Normalny"/>
    <w:next w:val="Normalny"/>
    <w:link w:val="Nagwek1Znak"/>
    <w:uiPriority w:val="9"/>
    <w:qFormat/>
    <w:rsid w:val="008D1132"/>
    <w:pPr>
      <w:keepNext/>
      <w:keepLines/>
      <w:spacing w:line="432" w:lineRule="exact"/>
      <w:jc w:val="center"/>
      <w:outlineLvl w:val="0"/>
    </w:pPr>
    <w:rPr>
      <w:rFonts w:asciiTheme="majorHAnsi" w:eastAsiaTheme="majorEastAsia" w:hAnsiTheme="majorHAnsi" w:cstheme="majorBidi"/>
      <w:bCs/>
      <w:color w:val="00AAFF" w:themeColor="accent2"/>
      <w:sz w:val="36"/>
      <w:szCs w:val="36"/>
      <w:lang w:val="en-US"/>
    </w:rPr>
  </w:style>
  <w:style w:type="paragraph" w:styleId="Nagwek3">
    <w:name w:val="heading 3"/>
    <w:basedOn w:val="Normalny"/>
    <w:next w:val="Normalny"/>
    <w:link w:val="Nagwek3Znak"/>
    <w:uiPriority w:val="9"/>
    <w:semiHidden/>
    <w:qFormat/>
    <w:rsid w:val="00AD65DF"/>
    <w:pPr>
      <w:keepNext/>
      <w:keepLines/>
      <w:spacing w:before="40"/>
      <w:outlineLvl w:val="2"/>
    </w:pPr>
    <w:rPr>
      <w:rFonts w:asciiTheme="majorHAnsi" w:eastAsiaTheme="majorEastAsia" w:hAnsiTheme="majorHAnsi" w:cstheme="majorBidi"/>
      <w:color w:val="0B122F" w:themeColor="accent1" w:themeShade="7F"/>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link w:val="NagwekZnak"/>
    <w:uiPriority w:val="99"/>
    <w:unhideWhenUsed/>
    <w:rsid w:val="002019AB"/>
    <w:pPr>
      <w:spacing w:after="0" w:line="240" w:lineRule="exact"/>
    </w:pPr>
    <w:rPr>
      <w:sz w:val="20"/>
    </w:rPr>
  </w:style>
  <w:style w:type="character" w:customStyle="1" w:styleId="NagwekZnak">
    <w:name w:val="Nagłówek Znak"/>
    <w:basedOn w:val="Domylnaczcionkaakapitu"/>
    <w:link w:val="Nagwek"/>
    <w:uiPriority w:val="99"/>
    <w:rsid w:val="002019AB"/>
    <w:rPr>
      <w:sz w:val="20"/>
    </w:rPr>
  </w:style>
  <w:style w:type="paragraph" w:styleId="Stopka">
    <w:name w:val="footer"/>
    <w:link w:val="StopkaZnak"/>
    <w:uiPriority w:val="99"/>
    <w:unhideWhenUsed/>
    <w:rsid w:val="003C7C34"/>
    <w:pPr>
      <w:spacing w:after="0" w:line="240" w:lineRule="exact"/>
    </w:pPr>
    <w:rPr>
      <w:sz w:val="20"/>
    </w:rPr>
  </w:style>
  <w:style w:type="character" w:customStyle="1" w:styleId="StopkaZnak">
    <w:name w:val="Stopka Znak"/>
    <w:basedOn w:val="Domylnaczcionkaakapitu"/>
    <w:link w:val="Stopka"/>
    <w:uiPriority w:val="99"/>
    <w:rsid w:val="003C7C34"/>
    <w:rPr>
      <w:sz w:val="20"/>
    </w:rPr>
  </w:style>
  <w:style w:type="paragraph" w:styleId="Tekstdymka">
    <w:name w:val="Balloon Text"/>
    <w:basedOn w:val="Normalny"/>
    <w:link w:val="TekstdymkaZnak"/>
    <w:uiPriority w:val="99"/>
    <w:semiHidden/>
    <w:unhideWhenUsed/>
    <w:rsid w:val="00396690"/>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96690"/>
    <w:rPr>
      <w:rFonts w:ascii="Tahoma" w:hAnsi="Tahoma" w:cs="Tahoma"/>
      <w:sz w:val="16"/>
      <w:szCs w:val="16"/>
    </w:rPr>
  </w:style>
  <w:style w:type="character" w:customStyle="1" w:styleId="Nagwek1Znak">
    <w:name w:val="Nagłówek 1 Znak"/>
    <w:basedOn w:val="Domylnaczcionkaakapitu"/>
    <w:link w:val="Nagwek1"/>
    <w:uiPriority w:val="9"/>
    <w:rsid w:val="008D1132"/>
    <w:rPr>
      <w:rFonts w:asciiTheme="majorHAnsi" w:eastAsiaTheme="majorEastAsia" w:hAnsiTheme="majorHAnsi" w:cstheme="majorBidi"/>
      <w:bCs/>
      <w:color w:val="00AAFF" w:themeColor="accent2"/>
      <w:sz w:val="36"/>
      <w:szCs w:val="36"/>
      <w:lang w:val="en-US"/>
    </w:rPr>
  </w:style>
  <w:style w:type="table" w:styleId="Tabela-Siatka">
    <w:name w:val="Table Grid"/>
    <w:basedOn w:val="Standardowy"/>
    <w:uiPriority w:val="59"/>
    <w:rsid w:val="000C2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epostale">
    <w:name w:val="Adresse postale"/>
    <w:basedOn w:val="Normalny"/>
    <w:semiHidden/>
    <w:rsid w:val="00317240"/>
    <w:pPr>
      <w:spacing w:line="200" w:lineRule="atLeast"/>
    </w:pPr>
    <w:rPr>
      <w:color w:val="F4C867" w:themeColor="text2"/>
      <w:sz w:val="16"/>
      <w:szCs w:val="17"/>
    </w:rPr>
  </w:style>
  <w:style w:type="paragraph" w:customStyle="1" w:styleId="Adresseinternet">
    <w:name w:val="Adresse internet"/>
    <w:basedOn w:val="Adressepostale"/>
    <w:semiHidden/>
    <w:rsid w:val="00317240"/>
    <w:pPr>
      <w:framePr w:hSpace="142" w:wrap="around" w:hAnchor="margin" w:yAlign="bottom"/>
      <w:suppressOverlap/>
      <w:jc w:val="right"/>
    </w:pPr>
    <w:rPr>
      <w:color w:val="17255F" w:themeColor="accent1"/>
      <w:sz w:val="17"/>
    </w:rPr>
  </w:style>
  <w:style w:type="paragraph" w:customStyle="1" w:styleId="Adressesocit">
    <w:name w:val="Adresse société"/>
    <w:basedOn w:val="Adressepostale"/>
    <w:semiHidden/>
    <w:rsid w:val="00317240"/>
    <w:pPr>
      <w:framePr w:hSpace="142" w:wrap="around" w:hAnchor="margin" w:yAlign="bottom"/>
      <w:suppressOverlap/>
    </w:pPr>
    <w:rPr>
      <w:sz w:val="17"/>
    </w:rPr>
  </w:style>
  <w:style w:type="paragraph" w:customStyle="1" w:styleId="Numrodetlphone">
    <w:name w:val="Numéro de téléphone"/>
    <w:basedOn w:val="Adressepostale"/>
    <w:semiHidden/>
    <w:rsid w:val="002D2268"/>
    <w:pPr>
      <w:framePr w:hSpace="142" w:wrap="around" w:hAnchor="margin" w:yAlign="bottom"/>
      <w:suppressOverlap/>
    </w:pPr>
  </w:style>
  <w:style w:type="paragraph" w:customStyle="1" w:styleId="CapitalRCS">
    <w:name w:val="Capital RCS"/>
    <w:basedOn w:val="Adressepostale"/>
    <w:semiHidden/>
    <w:rsid w:val="002D2268"/>
    <w:pPr>
      <w:framePr w:hSpace="142" w:wrap="around" w:hAnchor="margin" w:yAlign="bottom"/>
      <w:suppressOverlap/>
    </w:pPr>
  </w:style>
  <w:style w:type="paragraph" w:customStyle="1" w:styleId="Intitul">
    <w:name w:val="Intitulé"/>
    <w:basedOn w:val="Normalny"/>
    <w:qFormat/>
    <w:rsid w:val="008D1132"/>
    <w:pPr>
      <w:jc w:val="right"/>
    </w:pPr>
    <w:rPr>
      <w:color w:val="17255F" w:themeColor="accent1"/>
      <w:sz w:val="28"/>
      <w:szCs w:val="28"/>
    </w:rPr>
  </w:style>
  <w:style w:type="paragraph" w:customStyle="1" w:styleId="Textepuce">
    <w:name w:val="Texte puce"/>
    <w:basedOn w:val="Textedesaisie"/>
    <w:qFormat/>
    <w:rsid w:val="00714945"/>
    <w:pPr>
      <w:numPr>
        <w:numId w:val="15"/>
      </w:numPr>
      <w:ind w:left="680" w:hanging="340"/>
    </w:pPr>
  </w:style>
  <w:style w:type="paragraph" w:customStyle="1" w:styleId="Texteadresseinternet">
    <w:name w:val="Texte adresse internet"/>
    <w:basedOn w:val="Stopka"/>
    <w:qFormat/>
    <w:rsid w:val="008D1132"/>
    <w:pPr>
      <w:jc w:val="right"/>
    </w:pPr>
    <w:rPr>
      <w:color w:val="007E96"/>
      <w:sz w:val="18"/>
      <w:szCs w:val="18"/>
    </w:rPr>
  </w:style>
  <w:style w:type="paragraph" w:customStyle="1" w:styleId="Adressepieddepage">
    <w:name w:val="Adresse pied de page"/>
    <w:basedOn w:val="Stopka"/>
    <w:qFormat/>
    <w:rsid w:val="003D120D"/>
    <w:pPr>
      <w:spacing w:line="180" w:lineRule="atLeast"/>
    </w:pPr>
    <w:rPr>
      <w:color w:val="84A0AF"/>
      <w:sz w:val="14"/>
      <w:szCs w:val="14"/>
      <w:lang w:val="en-GB"/>
    </w:rPr>
  </w:style>
  <w:style w:type="character" w:customStyle="1" w:styleId="Bold">
    <w:name w:val="Bold"/>
    <w:basedOn w:val="Domylnaczcionkaakapitu"/>
    <w:uiPriority w:val="1"/>
    <w:qFormat/>
    <w:rsid w:val="0078427B"/>
    <w:rPr>
      <w:rFonts w:cs="Times New Roman"/>
      <w:b/>
      <w:lang w:val="en-US" w:eastAsia="x-none"/>
    </w:rPr>
  </w:style>
  <w:style w:type="paragraph" w:customStyle="1" w:styleId="Textedesaisie">
    <w:name w:val="Texte de saisie"/>
    <w:basedOn w:val="Normalny"/>
    <w:qFormat/>
    <w:rsid w:val="00562B4F"/>
    <w:pPr>
      <w:jc w:val="both"/>
    </w:pPr>
    <w:rPr>
      <w:color w:val="000000" w:themeColor="text1"/>
    </w:rPr>
  </w:style>
  <w:style w:type="paragraph" w:customStyle="1" w:styleId="Texteintroduction">
    <w:name w:val="Texte introduction"/>
    <w:basedOn w:val="Textedesaisie"/>
    <w:qFormat/>
    <w:rsid w:val="008C0B76"/>
    <w:rPr>
      <w:b/>
      <w:sz w:val="22"/>
    </w:rPr>
  </w:style>
  <w:style w:type="paragraph" w:customStyle="1" w:styleId="Datedudocument">
    <w:name w:val="Date du document"/>
    <w:basedOn w:val="Normalny"/>
    <w:qFormat/>
    <w:rsid w:val="008D1132"/>
    <w:pPr>
      <w:jc w:val="right"/>
    </w:pPr>
    <w:rPr>
      <w:color w:val="17255F" w:themeColor="accent1"/>
      <w:sz w:val="28"/>
      <w:szCs w:val="28"/>
    </w:rPr>
  </w:style>
  <w:style w:type="character" w:styleId="Hipercze">
    <w:name w:val="Hyperlink"/>
    <w:basedOn w:val="Domylnaczcionkaakapitu"/>
    <w:uiPriority w:val="99"/>
    <w:rsid w:val="008D1132"/>
    <w:rPr>
      <w:color w:val="00AAFF" w:themeColor="accent2"/>
      <w:u w:val="single"/>
    </w:rPr>
  </w:style>
  <w:style w:type="paragraph" w:customStyle="1" w:styleId="Texteapropos">
    <w:name w:val="Texte a propos"/>
    <w:basedOn w:val="Textedesaisie"/>
    <w:qFormat/>
    <w:rsid w:val="00F92ECA"/>
    <w:pPr>
      <w:spacing w:line="216" w:lineRule="atLeast"/>
    </w:pPr>
    <w:rPr>
      <w:color w:val="auto"/>
      <w:sz w:val="18"/>
      <w:szCs w:val="18"/>
    </w:rPr>
  </w:style>
  <w:style w:type="paragraph" w:customStyle="1" w:styleId="Textecontact">
    <w:name w:val="Texte contact"/>
    <w:basedOn w:val="Textedesaisie"/>
    <w:qFormat/>
    <w:rsid w:val="00F92ECA"/>
    <w:pPr>
      <w:spacing w:line="216" w:lineRule="atLeast"/>
      <w:jc w:val="left"/>
    </w:pPr>
    <w:rPr>
      <w:color w:val="auto"/>
      <w:sz w:val="18"/>
      <w:szCs w:val="18"/>
    </w:rPr>
  </w:style>
  <w:style w:type="paragraph" w:customStyle="1" w:styleId="TableauNormal1">
    <w:name w:val="Tableau Normal1"/>
    <w:basedOn w:val="Normalny"/>
    <w:rsid w:val="002E5B2F"/>
    <w:pPr>
      <w:keepLines/>
      <w:spacing w:before="100" w:after="100" w:line="240" w:lineRule="auto"/>
      <w:jc w:val="both"/>
    </w:pPr>
    <w:rPr>
      <w:rFonts w:ascii="Arial" w:eastAsia="Times New Roman" w:hAnsi="Arial" w:cs="Times New Roman"/>
      <w:color w:val="auto"/>
      <w:szCs w:val="20"/>
      <w:lang w:eastAsia="fr-FR" w:bidi="fr-FR"/>
    </w:rPr>
  </w:style>
  <w:style w:type="character" w:customStyle="1" w:styleId="Nierozpoznanawzmianka1">
    <w:name w:val="Nierozpoznana wzmianka1"/>
    <w:basedOn w:val="Domylnaczcionkaakapitu"/>
    <w:uiPriority w:val="99"/>
    <w:semiHidden/>
    <w:unhideWhenUsed/>
    <w:rsid w:val="00711831"/>
    <w:rPr>
      <w:color w:val="605E5C"/>
      <w:shd w:val="clear" w:color="auto" w:fill="E1DFDD"/>
    </w:rPr>
  </w:style>
  <w:style w:type="paragraph" w:styleId="Poprawka">
    <w:name w:val="Revision"/>
    <w:hidden/>
    <w:uiPriority w:val="99"/>
    <w:semiHidden/>
    <w:rsid w:val="000A722D"/>
    <w:pPr>
      <w:spacing w:after="0" w:line="240" w:lineRule="auto"/>
    </w:pPr>
    <w:rPr>
      <w:color w:val="67AE6E" w:themeColor="background2"/>
      <w:sz w:val="20"/>
    </w:rPr>
  </w:style>
  <w:style w:type="paragraph" w:styleId="NormalnyWeb">
    <w:name w:val="Normal (Web)"/>
    <w:basedOn w:val="Normalny"/>
    <w:uiPriority w:val="99"/>
    <w:unhideWhenUsed/>
    <w:rsid w:val="00D52947"/>
    <w:pPr>
      <w:spacing w:before="100" w:beforeAutospacing="1" w:after="100" w:afterAutospacing="1" w:line="240" w:lineRule="auto"/>
    </w:pPr>
    <w:rPr>
      <w:rFonts w:ascii="Calibri" w:hAnsi="Calibri" w:cs="Calibri"/>
      <w:color w:val="auto"/>
      <w:sz w:val="22"/>
      <w:lang w:val="pl-PL" w:eastAsia="pl-PL"/>
    </w:rPr>
  </w:style>
  <w:style w:type="character" w:styleId="Odwoaniedokomentarza">
    <w:name w:val="annotation reference"/>
    <w:basedOn w:val="Domylnaczcionkaakapitu"/>
    <w:uiPriority w:val="99"/>
    <w:semiHidden/>
    <w:unhideWhenUsed/>
    <w:rsid w:val="00083D16"/>
    <w:rPr>
      <w:sz w:val="16"/>
      <w:szCs w:val="16"/>
    </w:rPr>
  </w:style>
  <w:style w:type="paragraph" w:styleId="Tekstkomentarza">
    <w:name w:val="annotation text"/>
    <w:basedOn w:val="Normalny"/>
    <w:link w:val="TekstkomentarzaZnak"/>
    <w:uiPriority w:val="99"/>
    <w:unhideWhenUsed/>
    <w:rsid w:val="00083D16"/>
    <w:pPr>
      <w:spacing w:line="240" w:lineRule="auto"/>
    </w:pPr>
    <w:rPr>
      <w:szCs w:val="20"/>
    </w:rPr>
  </w:style>
  <w:style w:type="character" w:customStyle="1" w:styleId="TekstkomentarzaZnak">
    <w:name w:val="Tekst komentarza Znak"/>
    <w:basedOn w:val="Domylnaczcionkaakapitu"/>
    <w:link w:val="Tekstkomentarza"/>
    <w:uiPriority w:val="99"/>
    <w:rsid w:val="00083D16"/>
    <w:rPr>
      <w:color w:val="67AE6E" w:themeColor="background2"/>
      <w:sz w:val="20"/>
      <w:szCs w:val="20"/>
    </w:rPr>
  </w:style>
  <w:style w:type="paragraph" w:styleId="Tematkomentarza">
    <w:name w:val="annotation subject"/>
    <w:basedOn w:val="Tekstkomentarza"/>
    <w:next w:val="Tekstkomentarza"/>
    <w:link w:val="TematkomentarzaZnak"/>
    <w:uiPriority w:val="99"/>
    <w:semiHidden/>
    <w:unhideWhenUsed/>
    <w:rsid w:val="00083D16"/>
    <w:rPr>
      <w:b/>
      <w:bCs/>
    </w:rPr>
  </w:style>
  <w:style w:type="character" w:customStyle="1" w:styleId="TematkomentarzaZnak">
    <w:name w:val="Temat komentarza Znak"/>
    <w:basedOn w:val="TekstkomentarzaZnak"/>
    <w:link w:val="Tematkomentarza"/>
    <w:uiPriority w:val="99"/>
    <w:semiHidden/>
    <w:rsid w:val="00083D16"/>
    <w:rPr>
      <w:b/>
      <w:bCs/>
      <w:color w:val="67AE6E" w:themeColor="background2"/>
      <w:sz w:val="20"/>
      <w:szCs w:val="20"/>
    </w:rPr>
  </w:style>
  <w:style w:type="paragraph" w:styleId="Tekstprzypisudolnego">
    <w:name w:val="footnote text"/>
    <w:basedOn w:val="Normalny"/>
    <w:link w:val="TekstprzypisudolnegoZnak"/>
    <w:uiPriority w:val="99"/>
    <w:semiHidden/>
    <w:unhideWhenUsed/>
    <w:rsid w:val="00224302"/>
    <w:pPr>
      <w:spacing w:line="240" w:lineRule="auto"/>
    </w:pPr>
    <w:rPr>
      <w:szCs w:val="20"/>
    </w:rPr>
  </w:style>
  <w:style w:type="character" w:customStyle="1" w:styleId="TekstprzypisudolnegoZnak">
    <w:name w:val="Tekst przypisu dolnego Znak"/>
    <w:basedOn w:val="Domylnaczcionkaakapitu"/>
    <w:link w:val="Tekstprzypisudolnego"/>
    <w:uiPriority w:val="99"/>
    <w:semiHidden/>
    <w:rsid w:val="00224302"/>
    <w:rPr>
      <w:color w:val="67AE6E" w:themeColor="background2"/>
      <w:sz w:val="20"/>
      <w:szCs w:val="20"/>
    </w:rPr>
  </w:style>
  <w:style w:type="character" w:styleId="Odwoanieprzypisudolnego">
    <w:name w:val="footnote reference"/>
    <w:basedOn w:val="Domylnaczcionkaakapitu"/>
    <w:uiPriority w:val="99"/>
    <w:semiHidden/>
    <w:unhideWhenUsed/>
    <w:rsid w:val="00224302"/>
    <w:rPr>
      <w:vertAlign w:val="superscript"/>
    </w:rPr>
  </w:style>
  <w:style w:type="character" w:customStyle="1" w:styleId="Nagwek3Znak">
    <w:name w:val="Nagłówek 3 Znak"/>
    <w:basedOn w:val="Domylnaczcionkaakapitu"/>
    <w:link w:val="Nagwek3"/>
    <w:uiPriority w:val="9"/>
    <w:semiHidden/>
    <w:rsid w:val="00AD65DF"/>
    <w:rPr>
      <w:rFonts w:asciiTheme="majorHAnsi" w:eastAsiaTheme="majorEastAsia" w:hAnsiTheme="majorHAnsi" w:cstheme="majorBidi"/>
      <w:color w:val="0B122F"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2210">
      <w:bodyDiv w:val="1"/>
      <w:marLeft w:val="0"/>
      <w:marRight w:val="0"/>
      <w:marTop w:val="0"/>
      <w:marBottom w:val="0"/>
      <w:divBdr>
        <w:top w:val="none" w:sz="0" w:space="0" w:color="auto"/>
        <w:left w:val="none" w:sz="0" w:space="0" w:color="auto"/>
        <w:bottom w:val="none" w:sz="0" w:space="0" w:color="auto"/>
        <w:right w:val="none" w:sz="0" w:space="0" w:color="auto"/>
      </w:divBdr>
    </w:div>
    <w:div w:id="182018226">
      <w:bodyDiv w:val="1"/>
      <w:marLeft w:val="0"/>
      <w:marRight w:val="0"/>
      <w:marTop w:val="0"/>
      <w:marBottom w:val="0"/>
      <w:divBdr>
        <w:top w:val="none" w:sz="0" w:space="0" w:color="auto"/>
        <w:left w:val="none" w:sz="0" w:space="0" w:color="auto"/>
        <w:bottom w:val="none" w:sz="0" w:space="0" w:color="auto"/>
        <w:right w:val="none" w:sz="0" w:space="0" w:color="auto"/>
      </w:divBdr>
    </w:div>
    <w:div w:id="192230294">
      <w:bodyDiv w:val="1"/>
      <w:marLeft w:val="0"/>
      <w:marRight w:val="0"/>
      <w:marTop w:val="0"/>
      <w:marBottom w:val="0"/>
      <w:divBdr>
        <w:top w:val="none" w:sz="0" w:space="0" w:color="auto"/>
        <w:left w:val="none" w:sz="0" w:space="0" w:color="auto"/>
        <w:bottom w:val="none" w:sz="0" w:space="0" w:color="auto"/>
        <w:right w:val="none" w:sz="0" w:space="0" w:color="auto"/>
      </w:divBdr>
    </w:div>
    <w:div w:id="767820367">
      <w:bodyDiv w:val="1"/>
      <w:marLeft w:val="0"/>
      <w:marRight w:val="0"/>
      <w:marTop w:val="0"/>
      <w:marBottom w:val="0"/>
      <w:divBdr>
        <w:top w:val="none" w:sz="0" w:space="0" w:color="auto"/>
        <w:left w:val="none" w:sz="0" w:space="0" w:color="auto"/>
        <w:bottom w:val="none" w:sz="0" w:space="0" w:color="auto"/>
        <w:right w:val="none" w:sz="0" w:space="0" w:color="auto"/>
      </w:divBdr>
    </w:div>
    <w:div w:id="833491073">
      <w:bodyDiv w:val="1"/>
      <w:marLeft w:val="0"/>
      <w:marRight w:val="0"/>
      <w:marTop w:val="0"/>
      <w:marBottom w:val="0"/>
      <w:divBdr>
        <w:top w:val="none" w:sz="0" w:space="0" w:color="auto"/>
        <w:left w:val="none" w:sz="0" w:space="0" w:color="auto"/>
        <w:bottom w:val="none" w:sz="0" w:space="0" w:color="auto"/>
        <w:right w:val="none" w:sz="0" w:space="0" w:color="auto"/>
      </w:divBdr>
    </w:div>
    <w:div w:id="1760370251">
      <w:bodyDiv w:val="1"/>
      <w:marLeft w:val="0"/>
      <w:marRight w:val="0"/>
      <w:marTop w:val="0"/>
      <w:marBottom w:val="0"/>
      <w:divBdr>
        <w:top w:val="none" w:sz="0" w:space="0" w:color="auto"/>
        <w:left w:val="none" w:sz="0" w:space="0" w:color="auto"/>
        <w:bottom w:val="none" w:sz="0" w:space="0" w:color="auto"/>
        <w:right w:val="none" w:sz="0" w:space="0" w:color="auto"/>
      </w:divBdr>
    </w:div>
    <w:div w:id="2025981929">
      <w:bodyDiv w:val="1"/>
      <w:marLeft w:val="0"/>
      <w:marRight w:val="0"/>
      <w:marTop w:val="0"/>
      <w:marBottom w:val="0"/>
      <w:divBdr>
        <w:top w:val="none" w:sz="0" w:space="0" w:color="auto"/>
        <w:left w:val="none" w:sz="0" w:space="0" w:color="auto"/>
        <w:bottom w:val="none" w:sz="0" w:space="0" w:color="auto"/>
        <w:right w:val="none" w:sz="0" w:space="0" w:color="auto"/>
      </w:divBdr>
    </w:div>
    <w:div w:id="206028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gdalena.jarominska@engi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ENGIE WORD">
      <a:dk1>
        <a:sysClr val="windowText" lastClr="000000"/>
      </a:dk1>
      <a:lt1>
        <a:sysClr val="window" lastClr="FFFFFF"/>
      </a:lt1>
      <a:dk2>
        <a:srgbClr val="F4C867"/>
      </a:dk2>
      <a:lt2>
        <a:srgbClr val="67AE6E"/>
      </a:lt2>
      <a:accent1>
        <a:srgbClr val="17255F"/>
      </a:accent1>
      <a:accent2>
        <a:srgbClr val="00AAFF"/>
      </a:accent2>
      <a:accent3>
        <a:srgbClr val="00817D"/>
      </a:accent3>
      <a:accent4>
        <a:srgbClr val="E18554"/>
      </a:accent4>
      <a:accent5>
        <a:srgbClr val="1D8CBC"/>
      </a:accent5>
      <a:accent6>
        <a:srgbClr val="4BB0B9"/>
      </a:accent6>
      <a:hlink>
        <a:srgbClr val="000000"/>
      </a:hlink>
      <a:folHlink>
        <a:srgbClr val="000000"/>
      </a:folHlink>
    </a:clrScheme>
    <a:fontScheme name="Arial Black - Arial">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1b820adfd3e4a078472514c1a5cb5ff xmlns="87037488-ec5d-4aba-84c2-9b1d22638e8e">
      <Terms xmlns="http://schemas.microsoft.com/office/infopath/2007/PartnerControls"/>
    </b1b820adfd3e4a078472514c1a5cb5ff>
    <TaxCatchAll xmlns="87037488-ec5d-4aba-84c2-9b1d22638e8e" xsi:nil="true"/>
    <lcf76f155ced4ddcb4097134ff3c332f xmlns="ff6b9f80-c855-428a-9bae-b097f1ad0be4">
      <Terms xmlns="http://schemas.microsoft.com/office/infopath/2007/PartnerControls"/>
    </lcf76f155ced4ddcb4097134ff3c332f>
    <Th_x00e9_matique xmlns="ff6b9f80-c855-428a-9bae-b097f1ad0b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bf472f7-a010-4b5a-bb99-a26ed4c99680"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590DF9C390556459E6EC71258498C31" ma:contentTypeVersion="19" ma:contentTypeDescription="Creați un document nou." ma:contentTypeScope="" ma:versionID="0179dc47da4b585cacece0aeeff7ab60">
  <xsd:schema xmlns:xsd="http://www.w3.org/2001/XMLSchema" xmlns:xs="http://www.w3.org/2001/XMLSchema" xmlns:p="http://schemas.microsoft.com/office/2006/metadata/properties" xmlns:ns2="87037488-ec5d-4aba-84c2-9b1d22638e8e" xmlns:ns3="ff6b9f80-c855-428a-9bae-b097f1ad0be4" xmlns:ns4="974511cd-4fe9-47fa-b9b0-691c9112eae5" targetNamespace="http://schemas.microsoft.com/office/2006/metadata/properties" ma:root="true" ma:fieldsID="00149c268a824304aa4a0569d44c1972" ns2:_="" ns3:_="" ns4:_="">
    <xsd:import namespace="87037488-ec5d-4aba-84c2-9b1d22638e8e"/>
    <xsd:import namespace="ff6b9f80-c855-428a-9bae-b097f1ad0be4"/>
    <xsd:import namespace="974511cd-4fe9-47fa-b9b0-691c9112eae5"/>
    <xsd:element name="properties">
      <xsd:complexType>
        <xsd:sequence>
          <xsd:element name="documentManagement">
            <xsd:complexType>
              <xsd:all>
                <xsd:element ref="ns2:b1b820adfd3e4a078472514c1a5cb5ff" minOccurs="0"/>
                <xsd:element ref="ns2:TaxCatchAll" minOccurs="0"/>
                <xsd:element ref="ns2:TaxCatchAllLabel"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3:Th_x00e9_matiq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37488-ec5d-4aba-84c2-9b1d22638e8e" elementFormDefault="qualified">
    <xsd:import namespace="http://schemas.microsoft.com/office/2006/documentManagement/types"/>
    <xsd:import namespace="http://schemas.microsoft.com/office/infopath/2007/PartnerControls"/>
    <xsd:element name="b1b820adfd3e4a078472514c1a5cb5ff" ma:index="8" nillable="true" ma:taxonomy="true" ma:internalName="b1b820adfd3e4a078472514c1a5cb5ff" ma:taxonomyFieldName="Security_x0020_Classification" ma:displayName="Security Classification" ma:default="" ma:fieldId="{b1b820ad-fd3e-4a07-8472-514c1a5cb5ff}" ma:sspId="3bf472f7-a010-4b5a-bb99-a26ed4c99680" ma:termSetId="0c0ba91f-ee81-4a79-83f6-c19eebf2f16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2ca124-c036-4c75-8d2c-d88a86549a42}" ma:internalName="TaxCatchAll" ma:showField="CatchAllData" ma:web="974511cd-4fe9-47fa-b9b0-691c9112eae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2ca124-c036-4c75-8d2c-d88a86549a42}" ma:internalName="TaxCatchAllLabel" ma:readOnly="true" ma:showField="CatchAllDataLabel" ma:web="974511cd-4fe9-47fa-b9b0-691c9112ea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6b9f80-c855-428a-9bae-b097f1ad0be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Etichete imagine" ma:readOnly="false" ma:fieldId="{5cf76f15-5ced-4ddc-b409-7134ff3c332f}" ma:taxonomyMulti="true" ma:sspId="3bf472f7-a010-4b5a-bb99-a26ed4c99680" ma:termSetId="09814cd3-568e-fe90-9814-8d621ff8fb84" ma:anchorId="fba54fb3-c3e1-fe81-a776-ca4b69148c4d" ma:open="true" ma:isKeyword="false">
      <xsd:complexType>
        <xsd:sequence>
          <xsd:element ref="pc:Terms" minOccurs="0" maxOccurs="1"/>
        </xsd:sequence>
      </xsd:complexType>
    </xsd:element>
    <xsd:element name="Th_x00e9_matique" ma:index="25" nillable="true" ma:displayName="Thématique" ma:format="Dropdown" ma:internalName="Th_x00e9_matique">
      <xsd:simpleType>
        <xsd:restriction base="dms:Choice">
          <xsd:enumeration value="Business"/>
        </xsd:restriction>
      </xsd:simpleType>
    </xsd:element>
  </xsd:schema>
  <xsd:schema xmlns:xsd="http://www.w3.org/2001/XMLSchema" xmlns:xs="http://www.w3.org/2001/XMLSchema" xmlns:dms="http://schemas.microsoft.com/office/2006/documentManagement/types" xmlns:pc="http://schemas.microsoft.com/office/infopath/2007/PartnerControls" targetNamespace="974511cd-4fe9-47fa-b9b0-691c9112eae5" elementFormDefault="qualified">
    <xsd:import namespace="http://schemas.microsoft.com/office/2006/documentManagement/types"/>
    <xsd:import namespace="http://schemas.microsoft.com/office/infopath/2007/PartnerControls"/>
    <xsd:element name="SharedWithUsers" ma:index="14"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CEFD0-C678-46BE-9D38-737E67812EEC}">
  <ds:schemaRefs>
    <ds:schemaRef ds:uri="http://schemas.microsoft.com/office/2006/metadata/properties"/>
    <ds:schemaRef ds:uri="http://schemas.microsoft.com/office/infopath/2007/PartnerControls"/>
    <ds:schemaRef ds:uri="87037488-ec5d-4aba-84c2-9b1d22638e8e"/>
    <ds:schemaRef ds:uri="ff6b9f80-c855-428a-9bae-b097f1ad0be4"/>
  </ds:schemaRefs>
</ds:datastoreItem>
</file>

<file path=customXml/itemProps2.xml><?xml version="1.0" encoding="utf-8"?>
<ds:datastoreItem xmlns:ds="http://schemas.openxmlformats.org/officeDocument/2006/customXml" ds:itemID="{4FEA0696-8DA8-40AC-8182-83375BFF9A16}">
  <ds:schemaRefs>
    <ds:schemaRef ds:uri="http://schemas.microsoft.com/sharepoint/v3/contenttype/forms"/>
  </ds:schemaRefs>
</ds:datastoreItem>
</file>

<file path=customXml/itemProps3.xml><?xml version="1.0" encoding="utf-8"?>
<ds:datastoreItem xmlns:ds="http://schemas.openxmlformats.org/officeDocument/2006/customXml" ds:itemID="{8B9A8C9E-F4D8-4506-9C38-449825407631}">
  <ds:schemaRefs>
    <ds:schemaRef ds:uri="Microsoft.SharePoint.Taxonomy.ContentTypeSync"/>
  </ds:schemaRefs>
</ds:datastoreItem>
</file>

<file path=customXml/itemProps4.xml><?xml version="1.0" encoding="utf-8"?>
<ds:datastoreItem xmlns:ds="http://schemas.openxmlformats.org/officeDocument/2006/customXml" ds:itemID="{599BE16F-C633-429E-8EDA-64B1A154B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37488-ec5d-4aba-84c2-9b1d22638e8e"/>
    <ds:schemaRef ds:uri="ff6b9f80-c855-428a-9bae-b097f1ad0be4"/>
    <ds:schemaRef ds:uri="974511cd-4fe9-47fa-b9b0-691c9112e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9FF0F9-41F8-494E-9A82-A3612C458B04}">
  <ds:schemaRefs>
    <ds:schemaRef ds:uri="http://schemas.openxmlformats.org/officeDocument/2006/bibliography"/>
  </ds:schemaRefs>
</ds:datastoreItem>
</file>

<file path=docMetadata/LabelInfo.xml><?xml version="1.0" encoding="utf-8"?>
<clbl:labelList xmlns:clbl="http://schemas.microsoft.com/office/2020/mipLabelMetadata">
  <clbl:label id="{c135c4ba-2280-41f8-be7d-6f21d368baa3}" enabled="1" method="Standard" siteId="{24139d14-c62c-4c47-8bdd-ce71ea1d50cf}"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1060</Words>
  <Characters>6363</Characters>
  <Application>Microsoft Office Word</Application>
  <DocSecurity>0</DocSecurity>
  <Lines>53</Lines>
  <Paragraphs>14</Paragraphs>
  <ScaleCrop>false</ScaleCrop>
  <HeadingPairs>
    <vt:vector size="4" baseType="variant">
      <vt:variant>
        <vt:lpstr>Tytuł</vt:lpstr>
      </vt:variant>
      <vt:variant>
        <vt:i4>1</vt:i4>
      </vt:variant>
      <vt:variant>
        <vt:lpstr>Titre</vt:lpstr>
      </vt:variant>
      <vt:variant>
        <vt:i4>1</vt:i4>
      </vt:variant>
    </vt:vector>
  </HeadingPairs>
  <TitlesOfParts>
    <vt:vector size="2" baseType="lpstr">
      <vt:lpstr>ENGIE</vt:lpstr>
      <vt:lpstr>ENGIE</vt:lpstr>
    </vt:vector>
  </TitlesOfParts>
  <Manager>ENGIE</Manager>
  <Company>ENGIE</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ENGIE</dc:title>
  <dc:subject>ENGIE</dc:subject>
  <dc:creator>Klaudia Klimek</dc:creator>
  <cp:lastModifiedBy>Alicja Dołęgowska</cp:lastModifiedBy>
  <cp:revision>6</cp:revision>
  <cp:lastPrinted>2025-05-27T09:05:00Z</cp:lastPrinted>
  <dcterms:created xsi:type="dcterms:W3CDTF">2025-05-27T09:19:00Z</dcterms:created>
  <dcterms:modified xsi:type="dcterms:W3CDTF">2025-06-10T07:18:00Z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35c4ba-2280-41f8-be7d-6f21d368baa3_Enabled">
    <vt:lpwstr>true</vt:lpwstr>
  </property>
  <property fmtid="{D5CDD505-2E9C-101B-9397-08002B2CF9AE}" pid="3" name="MSIP_Label_c135c4ba-2280-41f8-be7d-6f21d368baa3_SetDate">
    <vt:lpwstr>2022-06-27T13:57:45Z</vt:lpwstr>
  </property>
  <property fmtid="{D5CDD505-2E9C-101B-9397-08002B2CF9AE}" pid="4" name="MSIP_Label_c135c4ba-2280-41f8-be7d-6f21d368baa3_Method">
    <vt:lpwstr>Standard</vt:lpwstr>
  </property>
  <property fmtid="{D5CDD505-2E9C-101B-9397-08002B2CF9AE}" pid="5" name="MSIP_Label_c135c4ba-2280-41f8-be7d-6f21d368baa3_Name">
    <vt:lpwstr>c135c4ba-2280-41f8-be7d-6f21d368baa3</vt:lpwstr>
  </property>
  <property fmtid="{D5CDD505-2E9C-101B-9397-08002B2CF9AE}" pid="6" name="MSIP_Label_c135c4ba-2280-41f8-be7d-6f21d368baa3_SiteId">
    <vt:lpwstr>24139d14-c62c-4c47-8bdd-ce71ea1d50cf</vt:lpwstr>
  </property>
  <property fmtid="{D5CDD505-2E9C-101B-9397-08002B2CF9AE}" pid="7" name="MSIP_Label_c135c4ba-2280-41f8-be7d-6f21d368baa3_ActionId">
    <vt:lpwstr>6203ae13-90ab-42eb-80ba-fb20bf176947</vt:lpwstr>
  </property>
  <property fmtid="{D5CDD505-2E9C-101B-9397-08002B2CF9AE}" pid="8" name="MSIP_Label_c135c4ba-2280-41f8-be7d-6f21d368baa3_ContentBits">
    <vt:lpwstr>0</vt:lpwstr>
  </property>
  <property fmtid="{D5CDD505-2E9C-101B-9397-08002B2CF9AE}" pid="9" name="ContentTypeId">
    <vt:lpwstr>0x0101005590DF9C390556459E6EC71258498C31</vt:lpwstr>
  </property>
</Properties>
</file>