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4"/>
      </w:tblGrid>
      <w:tr w:rsidR="008C0B76" w:rsidRPr="008C0B76" w:rsidTr="00F47D26">
        <w:trPr>
          <w:trHeight w:hRule="exact" w:val="300"/>
        </w:trPr>
        <w:tc>
          <w:tcPr>
            <w:tcW w:w="8504" w:type="dxa"/>
          </w:tcPr>
          <w:p w:rsidR="008C0B76" w:rsidRPr="008D1132" w:rsidRDefault="00C31EFC" w:rsidP="008D1132">
            <w:pPr>
              <w:pStyle w:val="Intitul"/>
            </w:pPr>
            <w:r>
              <w:t>Informacja prasow</w:t>
            </w:r>
            <w:r w:rsidR="00CC7B62">
              <w:t>a</w:t>
            </w:r>
          </w:p>
        </w:tc>
      </w:tr>
      <w:tr w:rsidR="008C0B76" w:rsidRPr="008C0B76" w:rsidTr="00F47D26">
        <w:trPr>
          <w:trHeight w:hRule="exact" w:val="300"/>
        </w:trPr>
        <w:tc>
          <w:tcPr>
            <w:tcW w:w="8504" w:type="dxa"/>
          </w:tcPr>
          <w:p w:rsidR="008C0B76" w:rsidRPr="008D1132" w:rsidRDefault="00CC7B62" w:rsidP="00CC7B62">
            <w:pPr>
              <w:pStyle w:val="Datedudocument"/>
            </w:pPr>
            <w:r>
              <w:t>26</w:t>
            </w:r>
            <w:r w:rsidR="008C0B76" w:rsidRPr="008D1132">
              <w:t xml:space="preserve"> </w:t>
            </w:r>
            <w:r>
              <w:t>maj</w:t>
            </w:r>
            <w:r w:rsidR="008C0B76" w:rsidRPr="008D1132">
              <w:t xml:space="preserve"> 202</w:t>
            </w:r>
            <w:r>
              <w:t>5</w:t>
            </w:r>
          </w:p>
        </w:tc>
      </w:tr>
      <w:tr w:rsidR="008C0B76" w:rsidRPr="008C0B76" w:rsidTr="00F47D26">
        <w:trPr>
          <w:trHeight w:hRule="exact" w:val="851"/>
        </w:trPr>
        <w:tc>
          <w:tcPr>
            <w:tcW w:w="8504" w:type="dxa"/>
          </w:tcPr>
          <w:p w:rsidR="008C0B76" w:rsidRPr="008C0B76" w:rsidRDefault="008C0B76" w:rsidP="008C0B76">
            <w:pPr>
              <w:jc w:val="right"/>
              <w:rPr>
                <w:color w:val="auto"/>
                <w:sz w:val="28"/>
                <w:szCs w:val="28"/>
              </w:rPr>
            </w:pPr>
          </w:p>
        </w:tc>
      </w:tr>
    </w:tbl>
    <w:p w:rsidR="00562B4F" w:rsidRPr="008D1132" w:rsidRDefault="00CC7B62" w:rsidP="008D1132">
      <w:pPr>
        <w:pStyle w:val="Nagwek1"/>
      </w:pPr>
      <w:r>
        <w:t xml:space="preserve">Bez </w:t>
      </w:r>
      <w:proofErr w:type="spellStart"/>
      <w:r>
        <w:t>nich</w:t>
      </w:r>
      <w:proofErr w:type="spellEnd"/>
      <w:r>
        <w:t xml:space="preserve"> </w:t>
      </w:r>
      <w:proofErr w:type="spellStart"/>
      <w:r>
        <w:t>wystarczy</w:t>
      </w:r>
      <w:proofErr w:type="spellEnd"/>
      <w:r>
        <w:t xml:space="preserve"> </w:t>
      </w:r>
      <w:proofErr w:type="spellStart"/>
      <w:r>
        <w:t>chwila</w:t>
      </w:r>
      <w:proofErr w:type="spellEnd"/>
      <w:r>
        <w:t xml:space="preserve">, by </w:t>
      </w:r>
      <w:proofErr w:type="spellStart"/>
      <w:r>
        <w:t>sparaliżować</w:t>
      </w:r>
      <w:proofErr w:type="spellEnd"/>
      <w:r>
        <w:t xml:space="preserve"> system </w:t>
      </w:r>
      <w:proofErr w:type="spellStart"/>
      <w:r>
        <w:t>opieki</w:t>
      </w:r>
      <w:proofErr w:type="spellEnd"/>
      <w:r>
        <w:t xml:space="preserve"> </w:t>
      </w:r>
      <w:proofErr w:type="spellStart"/>
      <w:r>
        <w:t>zdrowotnej</w:t>
      </w:r>
      <w:proofErr w:type="spellEnd"/>
      <w:r>
        <w:t xml:space="preserve"> </w:t>
      </w:r>
      <w:proofErr w:type="spellStart"/>
      <w:r>
        <w:t>i</w:t>
      </w:r>
      <w:proofErr w:type="spellEnd"/>
      <w:r>
        <w:t xml:space="preserve"> </w:t>
      </w:r>
      <w:proofErr w:type="spellStart"/>
      <w:r>
        <w:t>odciąć</w:t>
      </w:r>
      <w:proofErr w:type="spellEnd"/>
      <w:r>
        <w:t xml:space="preserve"> </w:t>
      </w:r>
      <w:proofErr w:type="spellStart"/>
      <w:r>
        <w:t>Cię</w:t>
      </w:r>
      <w:proofErr w:type="spellEnd"/>
      <w:r>
        <w:t xml:space="preserve"> </w:t>
      </w:r>
      <w:proofErr w:type="spellStart"/>
      <w:r>
        <w:t>od</w:t>
      </w:r>
      <w:proofErr w:type="spellEnd"/>
      <w:r>
        <w:t xml:space="preserve"> </w:t>
      </w:r>
      <w:proofErr w:type="spellStart"/>
      <w:r>
        <w:t>dostępu</w:t>
      </w:r>
      <w:proofErr w:type="spellEnd"/>
      <w:r>
        <w:t xml:space="preserve"> do </w:t>
      </w:r>
      <w:proofErr w:type="spellStart"/>
      <w:r>
        <w:t>środków</w:t>
      </w:r>
      <w:proofErr w:type="spellEnd"/>
      <w:r>
        <w:t xml:space="preserve"> </w:t>
      </w:r>
      <w:proofErr w:type="spellStart"/>
      <w:r>
        <w:t>finansowych</w:t>
      </w:r>
      <w:proofErr w:type="spellEnd"/>
      <w:r>
        <w:t xml:space="preserve">. Co </w:t>
      </w:r>
      <w:proofErr w:type="spellStart"/>
      <w:r>
        <w:t>wiesz</w:t>
      </w:r>
      <w:proofErr w:type="spellEnd"/>
      <w:r>
        <w:t xml:space="preserve"> o Data Center?</w:t>
      </w:r>
    </w:p>
    <w:p w:rsidR="008C0B76" w:rsidRPr="00F47D26" w:rsidRDefault="008C0B76" w:rsidP="00562B4F">
      <w:pPr>
        <w:pStyle w:val="Textedesaisie"/>
        <w:rPr>
          <w:color w:val="auto"/>
          <w:lang w:val="en-US"/>
        </w:rPr>
      </w:pPr>
    </w:p>
    <w:p w:rsidR="00CC7B62" w:rsidRPr="00CC7B62" w:rsidRDefault="00CC7B62" w:rsidP="00CC7B62">
      <w:pPr>
        <w:pStyle w:val="Textepuce"/>
        <w:rPr>
          <w:b/>
          <w:color w:val="auto"/>
        </w:rPr>
      </w:pPr>
      <w:r w:rsidRPr="00CC7B62">
        <w:rPr>
          <w:b/>
        </w:rPr>
        <w:t>W dobie transformacji cyfrowej, gdy każde kliknięcie, transakcja online czy odtworzenie filmu generuje i przetwarza dane, rola centrów przetwarzania danych (Data Center) staje się absolutnie kluczowa.</w:t>
      </w:r>
    </w:p>
    <w:p w:rsidR="00CC7B62" w:rsidRPr="00CC7B62" w:rsidRDefault="00CC7B62" w:rsidP="00CC7B62">
      <w:pPr>
        <w:pStyle w:val="Textepuce"/>
        <w:rPr>
          <w:b/>
          <w:color w:val="auto"/>
        </w:rPr>
      </w:pPr>
      <w:r w:rsidRPr="00CC7B62">
        <w:rPr>
          <w:b/>
        </w:rPr>
        <w:t>Banki, szpitale, służby ratunkowe oraz wiele innych instytucji funkcjonuje w rytmie, który one wyznaczają – choć większość z nas nawet tego nie zauważa.</w:t>
      </w:r>
    </w:p>
    <w:p w:rsidR="00CC7B62" w:rsidRPr="00CC7B62" w:rsidRDefault="00CC7B62" w:rsidP="00CC7B62">
      <w:pPr>
        <w:pStyle w:val="Textepuce"/>
        <w:rPr>
          <w:b/>
          <w:color w:val="auto"/>
        </w:rPr>
      </w:pPr>
      <w:r w:rsidRPr="00CC7B62">
        <w:rPr>
          <w:b/>
        </w:rPr>
        <w:t>Tymczasem wystarczy krótkotrwała awaria w serwerowni, aby zablokować karty płatnicze, wstrzymać przelewy czy uniemożliwić dostęp urządzeń medycznych do danych pacjentów.</w:t>
      </w:r>
    </w:p>
    <w:p w:rsidR="00CC7B62" w:rsidRPr="00CC7B62" w:rsidRDefault="00CC7B62" w:rsidP="00CC7B62">
      <w:pPr>
        <w:pStyle w:val="Textepuce"/>
        <w:rPr>
          <w:b/>
          <w:color w:val="auto"/>
        </w:rPr>
      </w:pPr>
      <w:r w:rsidRPr="00CC7B62">
        <w:rPr>
          <w:b/>
        </w:rPr>
        <w:t>Data Center są dziś nierozerwalnym fundamentem nowoczesnych społeczeństw, a Polska – dzięki strategicznemu położeniu i rosnącemu zapotrzebowaniu na usługi chmurowe, e-commerce, sztuczną inteligencję i przetwarzanie danych big data – ma realną szansę stać się liderem w regionie.</w:t>
      </w:r>
    </w:p>
    <w:p w:rsidR="00CC7B62" w:rsidRPr="00CC7B62" w:rsidRDefault="00CC7B62" w:rsidP="00CC7B62">
      <w:pPr>
        <w:pStyle w:val="Textepuce"/>
        <w:rPr>
          <w:b/>
        </w:rPr>
      </w:pPr>
      <w:r w:rsidRPr="00CC7B62">
        <w:rPr>
          <w:b/>
        </w:rPr>
        <w:t>Prognozy agencji badawczej PMR wskazują, że zainstalowana moc Data Center w Polsce niemal się potroi, osiągając ponad 500 MW do 2030 roku – co odpowiada rocznemu zużyciu energii przez pół miliona gospodarstw domowych.</w:t>
      </w:r>
    </w:p>
    <w:p w:rsidR="00562B4F" w:rsidRPr="008C0B76" w:rsidRDefault="00562B4F" w:rsidP="00562B4F">
      <w:pPr>
        <w:pStyle w:val="Textedesaisie"/>
        <w:rPr>
          <w:color w:val="auto"/>
        </w:rPr>
      </w:pPr>
    </w:p>
    <w:p w:rsidR="00CC7B62" w:rsidRDefault="00CC7B62" w:rsidP="00CC7B62">
      <w:pPr>
        <w:pStyle w:val="Textedesaisie"/>
        <w:rPr>
          <w:color w:val="auto"/>
          <w:lang w:val="pl-PL"/>
        </w:rPr>
      </w:pPr>
      <w:r w:rsidRPr="00CC7B62">
        <w:rPr>
          <w:bCs/>
          <w:color w:val="auto"/>
          <w:lang w:val="pl-PL"/>
        </w:rPr>
        <w:t xml:space="preserve">Za kulisami imponujących serwerowni pracują specjaliści, których zadania mają kluczowe znaczenie dla nieprzerwanego funkcjonowania świata cyfrowego. </w:t>
      </w:r>
      <w:r w:rsidRPr="00CC7B62">
        <w:rPr>
          <w:color w:val="auto"/>
          <w:lang w:val="pl-PL"/>
        </w:rPr>
        <w:t>Mowa o firmach odpowiedzialnych za utrzymanie i serwis Data Center. Ich odpowiedzialność jest ogromna – centra danych muszą funkcjonować 24 godziny na dobę, 7 dni w tygodniu, bez najmniejszej przerwy.</w:t>
      </w:r>
      <w:r>
        <w:rPr>
          <w:color w:val="auto"/>
          <w:lang w:val="pl-PL"/>
        </w:rPr>
        <w:t xml:space="preserve"> </w:t>
      </w:r>
      <w:r w:rsidRPr="00CC7B62">
        <w:rPr>
          <w:color w:val="auto"/>
          <w:lang w:val="pl-PL"/>
        </w:rPr>
        <w:t>Przerwy w zasilaniu, przegrzewanie się serwerów czy problemy z łącznością mogą mieć katastrofalne skutki – od paraliżu bankowości internetowej po brak dostępu do kluczowych usług publicznych.</w:t>
      </w:r>
    </w:p>
    <w:p w:rsidR="00CC7B62" w:rsidRP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color w:val="auto"/>
          <w:lang w:val="pl-PL"/>
        </w:rPr>
        <w:t>Firmy serwisujące pełnią rolę „niewidzialnego strażnika”. To na ich barkach spoczywa zapewnienie odpowiedniego poziomu bezpieczeństwa obiektu oraz jego ciągłości operacyjnej. Zarządzają one złożonymi systemami zasilania (w tym zasilaniem gwarantowanym), chłodzenia, wentylacji, monitoringu i zabezpieczeń przeciwpożarowych. Ich misją jest prewencja – przewidywanie i zapobieganie potencjalnym awariom, a w razie ich wystąpienia – szybka reakcja i minimalizacja skutków.</w:t>
      </w:r>
    </w:p>
    <w:p w:rsidR="00CC7B62" w:rsidRDefault="00CC7B62" w:rsidP="00CC7B62">
      <w:pPr>
        <w:pStyle w:val="Textedesaisie"/>
        <w:rPr>
          <w:color w:val="auto"/>
          <w:lang w:val="pl-PL"/>
        </w:rPr>
      </w:pPr>
    </w:p>
    <w:p w:rsidR="00CC7B62" w:rsidRDefault="00CC7B62" w:rsidP="00CC7B62">
      <w:pPr>
        <w:pStyle w:val="Textedesaisie"/>
        <w:rPr>
          <w:b/>
          <w:bCs/>
          <w:color w:val="auto"/>
          <w:lang w:val="pl-PL"/>
        </w:rPr>
      </w:pPr>
      <w:r w:rsidRPr="00CC7B62">
        <w:rPr>
          <w:b/>
          <w:bCs/>
          <w:color w:val="auto"/>
          <w:lang w:val="pl-PL"/>
        </w:rPr>
        <w:t>Efektywność energetyczna – kluczowe wyzwanie dla Data Center</w:t>
      </w:r>
    </w:p>
    <w:p w:rsidR="00CC7B62" w:rsidRP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color w:val="auto"/>
          <w:lang w:val="pl-PL"/>
        </w:rPr>
        <w:t>Data Center należą do największych konsumentów energii elektrycznej – zasilanie tysięcy serwerów i ich chłodzenie pochłania ogromne ilości mocy.</w:t>
      </w:r>
      <w:r>
        <w:rPr>
          <w:color w:val="auto"/>
          <w:lang w:val="pl-PL"/>
        </w:rPr>
        <w:t xml:space="preserve"> </w:t>
      </w:r>
      <w:r w:rsidRPr="00CC7B62">
        <w:rPr>
          <w:color w:val="auto"/>
          <w:lang w:val="pl-PL"/>
        </w:rPr>
        <w:t xml:space="preserve">Zgodnie z danymi Międzynarodowej Agencji Energetycznej (IEA), centra danych odpowiadają dziś za 1–1,5% globalnego zużycia </w:t>
      </w:r>
      <w:r w:rsidRPr="00CC7B62">
        <w:rPr>
          <w:color w:val="auto"/>
          <w:lang w:val="pl-PL"/>
        </w:rPr>
        <w:lastRenderedPageBreak/>
        <w:t>energii elektrycznej, a udział ten może nadal rosnąć.</w:t>
      </w:r>
      <w:r>
        <w:rPr>
          <w:color w:val="auto"/>
          <w:lang w:val="pl-PL"/>
        </w:rPr>
        <w:t xml:space="preserve"> </w:t>
      </w:r>
      <w:r w:rsidRPr="00CC7B62">
        <w:rPr>
          <w:color w:val="auto"/>
          <w:lang w:val="pl-PL"/>
        </w:rPr>
        <w:t>W dobie rosnących cen energii, wymogów środowiskowych oraz zaostrzających się regulacji ESG, efektywność energetyczna staje się jednym z kluczowych wyzwań dla operatorów i firm obsługujących Data Center.</w:t>
      </w:r>
    </w:p>
    <w:p w:rsid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color w:val="auto"/>
          <w:lang w:val="pl-PL"/>
        </w:rPr>
        <w:t>Optymalizacja zużycia energii to nie tylko kwestia ekologii, ale również realnych korzyści ekonomicznych. Nowoczesne podejścia obejmują m.in. usprawnienie działania systemów chłodzenia – na przykład poprzez podniesienie dopuszczalnej temperatury w serwerowniach (zgodnie z wytycznymi ASHRAE). Precyzyjna regulacja temperatury nawet o 2–3°C może znacząco obniżyć zużycie energii przez jednostki chłodzące.</w:t>
      </w:r>
    </w:p>
    <w:p w:rsidR="00CC7B62" w:rsidRP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b/>
          <w:bCs/>
          <w:color w:val="auto"/>
          <w:lang w:val="pl-PL"/>
        </w:rPr>
        <w:t>Działania na rzecz poprawy efektywności w Data Center nie tylko obniżają koszty operacyjne i redukują ślad węglowy, ale także otwierają drogę do dodatkowych źródeł przychodu.</w:t>
      </w:r>
      <w:r>
        <w:rPr>
          <w:b/>
          <w:bCs/>
          <w:color w:val="auto"/>
          <w:lang w:val="pl-PL"/>
        </w:rPr>
        <w:t xml:space="preserve"> </w:t>
      </w:r>
      <w:r w:rsidRPr="00CC7B62">
        <w:rPr>
          <w:color w:val="auto"/>
          <w:lang w:val="pl-PL"/>
        </w:rPr>
        <w:t>Przykładem mogą być tzw. Białe Certyfikaty – przyznawane za działania skutkujące udokumentowaną redukcją zużycia energii. Mogą być sprzedawane na Towarowej Giełdzie Energii, często generując przychody rzędu setek tysięcy złotych rocznie i stanowiąc dodatkową motywację do inwestycji w innowacyjne procesy zarządzania energią.</w:t>
      </w:r>
      <w:r>
        <w:rPr>
          <w:color w:val="auto"/>
          <w:lang w:val="pl-PL"/>
        </w:rPr>
        <w:t xml:space="preserve"> </w:t>
      </w:r>
    </w:p>
    <w:p w:rsid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color w:val="auto"/>
          <w:lang w:val="pl-PL"/>
        </w:rPr>
        <w:t>Nowoczesne Data Center coraz częściej wykorzystują ciepło odpadowe z serwerów, np. do ogrzewania biur lub sąsiednich budynków. Takie działania – obok optymalizacji chłodzenia i inwestycji w energooszczędne technologie – znacząco redukują emisję CO</w:t>
      </w:r>
      <w:r w:rsidRPr="00CC7B62">
        <w:rPr>
          <w:rFonts w:ascii="Cambria Math" w:hAnsi="Cambria Math" w:cs="Cambria Math"/>
          <w:color w:val="auto"/>
          <w:lang w:val="pl-PL"/>
        </w:rPr>
        <w:t>₂</w:t>
      </w:r>
      <w:r w:rsidRPr="00CC7B62">
        <w:rPr>
          <w:color w:val="auto"/>
          <w:lang w:val="pl-PL"/>
        </w:rPr>
        <w:t>.</w:t>
      </w:r>
      <w:r>
        <w:rPr>
          <w:color w:val="auto"/>
          <w:lang w:val="pl-PL"/>
        </w:rPr>
        <w:t xml:space="preserve"> </w:t>
      </w:r>
      <w:r w:rsidRPr="00CC7B62">
        <w:rPr>
          <w:color w:val="auto"/>
          <w:lang w:val="pl-PL"/>
        </w:rPr>
        <w:t>Szacuje si</w:t>
      </w:r>
      <w:r w:rsidRPr="00CC7B62">
        <w:rPr>
          <w:rFonts w:ascii="Arial" w:hAnsi="Arial" w:cs="Arial"/>
          <w:color w:val="auto"/>
          <w:lang w:val="pl-PL"/>
        </w:rPr>
        <w:t>ę</w:t>
      </w:r>
      <w:r w:rsidRPr="00CC7B62">
        <w:rPr>
          <w:color w:val="auto"/>
          <w:lang w:val="pl-PL"/>
        </w:rPr>
        <w:t xml:space="preserve">, </w:t>
      </w:r>
      <w:r w:rsidRPr="00CC7B62">
        <w:rPr>
          <w:rFonts w:ascii="Arial" w:hAnsi="Arial" w:cs="Arial"/>
          <w:color w:val="auto"/>
          <w:lang w:val="pl-PL"/>
        </w:rPr>
        <w:t>ż</w:t>
      </w:r>
      <w:r w:rsidRPr="00CC7B62">
        <w:rPr>
          <w:color w:val="auto"/>
          <w:lang w:val="pl-PL"/>
        </w:rPr>
        <w:t>e kompleksowe projekty optymalizacyjne w du</w:t>
      </w:r>
      <w:r w:rsidRPr="00CC7B62">
        <w:rPr>
          <w:rFonts w:ascii="Arial" w:hAnsi="Arial" w:cs="Arial"/>
          <w:color w:val="auto"/>
          <w:lang w:val="pl-PL"/>
        </w:rPr>
        <w:t>ż</w:t>
      </w:r>
      <w:r w:rsidRPr="00CC7B62">
        <w:rPr>
          <w:color w:val="auto"/>
          <w:lang w:val="pl-PL"/>
        </w:rPr>
        <w:t>ych centrach danych mog</w:t>
      </w:r>
      <w:r w:rsidRPr="00CC7B62">
        <w:rPr>
          <w:rFonts w:ascii="Arial" w:hAnsi="Arial" w:cs="Arial"/>
          <w:color w:val="auto"/>
          <w:lang w:val="pl-PL"/>
        </w:rPr>
        <w:t>ą</w:t>
      </w:r>
      <w:r w:rsidRPr="00CC7B62">
        <w:rPr>
          <w:color w:val="auto"/>
          <w:lang w:val="pl-PL"/>
        </w:rPr>
        <w:t xml:space="preserve"> obni</w:t>
      </w:r>
      <w:r w:rsidRPr="00CC7B62">
        <w:rPr>
          <w:rFonts w:ascii="Arial" w:hAnsi="Arial" w:cs="Arial"/>
          <w:color w:val="auto"/>
          <w:lang w:val="pl-PL"/>
        </w:rPr>
        <w:t>ż</w:t>
      </w:r>
      <w:r w:rsidRPr="00CC7B62">
        <w:rPr>
          <w:color w:val="auto"/>
          <w:lang w:val="pl-PL"/>
        </w:rPr>
        <w:t>y</w:t>
      </w:r>
      <w:r w:rsidRPr="00CC7B62">
        <w:rPr>
          <w:rFonts w:ascii="Arial" w:hAnsi="Arial" w:cs="Arial"/>
          <w:color w:val="auto"/>
          <w:lang w:val="pl-PL"/>
        </w:rPr>
        <w:t>ć</w:t>
      </w:r>
      <w:r w:rsidRPr="00CC7B62">
        <w:rPr>
          <w:color w:val="auto"/>
          <w:lang w:val="pl-PL"/>
        </w:rPr>
        <w:t xml:space="preserve"> emisje nawet o setki ton rocznie, realnie wspierając walkę ze zmianami klimatu.</w:t>
      </w:r>
    </w:p>
    <w:p w:rsid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i/>
          <w:color w:val="auto"/>
          <w:lang w:val="pl-PL"/>
        </w:rPr>
        <w:t>W naszym kraju powstają nowoczesne kompleksy serwerowe, które stanowią cyfrowe ‘serca’ gospodarki i społeczeństwa. Ich znaczenie wykracza daleko poza branżę IT – rozwój rynku Data Center i praca firm odpowiedzialnych za ich utrzymanie mają ogromny, choć często niedostrzegalny wpływ na codzienne życie każdego z nas.</w:t>
      </w:r>
      <w:r w:rsidR="00E97EF5">
        <w:rPr>
          <w:i/>
          <w:color w:val="auto"/>
          <w:lang w:val="pl-PL"/>
        </w:rPr>
        <w:t xml:space="preserve"> </w:t>
      </w:r>
      <w:bookmarkStart w:id="0" w:name="_GoBack"/>
      <w:bookmarkEnd w:id="0"/>
      <w:r w:rsidRPr="00CC7B62">
        <w:rPr>
          <w:i/>
          <w:color w:val="auto"/>
          <w:lang w:val="pl-PL"/>
        </w:rPr>
        <w:t>Coraz bardziej uzależniamy się od systemów informatycznych obsługiwanych w tych obiektach: sprawdzanie pogody, zakupy online, płatności kartą, bankowość elektroniczna, streaming filmów, komunikacja w mediach społecznościowych, nawigacja GPS, jak również dostęp do usług medycznych i edukacyjnych – wszystkie te czynności opierają się na niezawodności infrastruktury Data Center, która gwarantuje sprawne funkcjonow</w:t>
      </w:r>
      <w:r>
        <w:rPr>
          <w:i/>
          <w:color w:val="auto"/>
          <w:lang w:val="pl-PL"/>
        </w:rPr>
        <w:t>anie naszego cyfrowego świata.</w:t>
      </w:r>
      <w:r w:rsidRPr="00CC7B62">
        <w:rPr>
          <w:color w:val="auto"/>
          <w:lang w:val="pl-PL"/>
        </w:rPr>
        <w:t xml:space="preserve">– mówi </w:t>
      </w:r>
      <w:r w:rsidRPr="00CC7B62">
        <w:rPr>
          <w:b/>
          <w:color w:val="auto"/>
          <w:lang w:val="pl-PL"/>
        </w:rPr>
        <w:t xml:space="preserve">Zbigniew Kowalski, </w:t>
      </w:r>
      <w:r w:rsidR="00DD2712" w:rsidRPr="00DD2712">
        <w:rPr>
          <w:b/>
          <w:color w:val="auto"/>
          <w:lang w:val="pl-PL"/>
        </w:rPr>
        <w:t>Dyrektor Rozwoju ds. Data Center Oddziału SAR</w:t>
      </w:r>
      <w:r w:rsidRPr="00CC7B62">
        <w:rPr>
          <w:b/>
          <w:color w:val="auto"/>
          <w:lang w:val="pl-PL"/>
        </w:rPr>
        <w:t>, ENGIE Services Sp. z o.o., Oddział SAR w Warszawie</w:t>
      </w:r>
      <w:r w:rsidRPr="00CC7B62">
        <w:rPr>
          <w:color w:val="auto"/>
          <w:lang w:val="pl-PL"/>
        </w:rPr>
        <w:t xml:space="preserve">, specjalizujący się w realizacji najbardziej wymagających kontraktów w zakresie precyzyjnej klimatyzacji i energetyki dla pomieszczeń IT i Data Center w formule </w:t>
      </w:r>
      <w:r w:rsidRPr="00CC7B62">
        <w:rPr>
          <w:b/>
          <w:bCs/>
          <w:color w:val="auto"/>
          <w:lang w:val="pl-PL"/>
        </w:rPr>
        <w:t>Design-</w:t>
      </w:r>
      <w:proofErr w:type="spellStart"/>
      <w:r w:rsidRPr="00CC7B62">
        <w:rPr>
          <w:b/>
          <w:bCs/>
          <w:color w:val="auto"/>
          <w:lang w:val="pl-PL"/>
        </w:rPr>
        <w:t>Build</w:t>
      </w:r>
      <w:proofErr w:type="spellEnd"/>
      <w:r w:rsidRPr="00CC7B62">
        <w:rPr>
          <w:b/>
          <w:bCs/>
          <w:color w:val="auto"/>
          <w:lang w:val="pl-PL"/>
        </w:rPr>
        <w:t>-</w:t>
      </w:r>
      <w:proofErr w:type="spellStart"/>
      <w:r w:rsidRPr="00CC7B62">
        <w:rPr>
          <w:b/>
          <w:bCs/>
          <w:color w:val="auto"/>
          <w:lang w:val="pl-PL"/>
        </w:rPr>
        <w:t>Operate-Maintain</w:t>
      </w:r>
      <w:proofErr w:type="spellEnd"/>
      <w:r w:rsidRPr="00CC7B62">
        <w:rPr>
          <w:color w:val="auto"/>
          <w:lang w:val="pl-PL"/>
        </w:rPr>
        <w:t>.</w:t>
      </w:r>
    </w:p>
    <w:p w:rsidR="00CC7B62" w:rsidRDefault="00CC7B62" w:rsidP="00CC7B62">
      <w:pPr>
        <w:pStyle w:val="Textedesaisie"/>
        <w:rPr>
          <w:color w:val="auto"/>
          <w:lang w:val="pl-PL"/>
        </w:rPr>
      </w:pPr>
    </w:p>
    <w:p w:rsidR="00CC7B62" w:rsidRDefault="00CC7B62" w:rsidP="00CC7B62">
      <w:pPr>
        <w:pStyle w:val="Textedesaisie"/>
        <w:rPr>
          <w:color w:val="auto"/>
          <w:lang w:val="pl-PL"/>
        </w:rPr>
      </w:pPr>
      <w:r w:rsidRPr="00CC7B62">
        <w:rPr>
          <w:color w:val="auto"/>
          <w:lang w:val="pl-PL"/>
        </w:rPr>
        <w:t>Chociaż nie dostrzegamy ich na co dzień, stabilność bankowości, ochrony zdrowia, handlu i komunikacji zależy od centrów danych. Ich sprawne i energooszczędne funkcjonowanie jest dziś warunkiem sine qua non sprawnego działania nowoczesnych społeczeństw.</w:t>
      </w:r>
      <w:r w:rsidRPr="00CC7B62">
        <w:rPr>
          <w:color w:val="auto"/>
          <w:lang w:val="pl-PL"/>
        </w:rPr>
        <w:br/>
        <w:t>W świecie rosnących wyzwań technologicznych i środowiskowych, rola tych obiektów będzie tylko rosła.</w:t>
      </w:r>
    </w:p>
    <w:p w:rsidR="00CC7B62" w:rsidRDefault="00CC7B62" w:rsidP="00CC7B62">
      <w:pPr>
        <w:pStyle w:val="Textedesaisie"/>
        <w:rPr>
          <w:color w:val="auto"/>
          <w:lang w:val="pl-PL"/>
        </w:rPr>
      </w:pPr>
    </w:p>
    <w:p w:rsidR="00562B4F" w:rsidRPr="00CC7B62" w:rsidRDefault="00CC7B62" w:rsidP="00CC7B62">
      <w:pPr>
        <w:pStyle w:val="Textedesaisie"/>
        <w:rPr>
          <w:rStyle w:val="Bold"/>
          <w:rFonts w:cstheme="minorBidi"/>
          <w:b w:val="0"/>
          <w:color w:val="auto"/>
          <w:lang w:val="pl-PL" w:eastAsia="en-US"/>
        </w:rPr>
      </w:pPr>
      <w:r>
        <w:rPr>
          <w:rStyle w:val="Bold"/>
          <w:lang w:val="fr-FR"/>
        </w:rPr>
        <w:t xml:space="preserve">O </w:t>
      </w:r>
      <w:r w:rsidR="00562B4F" w:rsidRPr="007310D3">
        <w:rPr>
          <w:rStyle w:val="Bold"/>
          <w:lang w:val="fr-FR"/>
        </w:rPr>
        <w:t>ENGIE</w:t>
      </w:r>
      <w:r>
        <w:rPr>
          <w:rStyle w:val="Bold"/>
          <w:lang w:val="fr-FR"/>
        </w:rPr>
        <w:t xml:space="preserve"> Polska</w:t>
      </w:r>
    </w:p>
    <w:p w:rsidR="008C0B76" w:rsidRPr="000A1580" w:rsidRDefault="008C0B76" w:rsidP="00F92ECA">
      <w:pPr>
        <w:pStyle w:val="Texteapropos"/>
      </w:pPr>
    </w:p>
    <w:p w:rsidR="00CC7B62" w:rsidRPr="001A1C14" w:rsidRDefault="00CC7B62" w:rsidP="00CC7B62">
      <w:pPr>
        <w:pStyle w:val="Textedesaisie"/>
        <w:rPr>
          <w:rFonts w:ascii="Calibri" w:hAnsi="Calibri" w:cs="Calibri"/>
          <w:color w:val="auto"/>
          <w:lang w:val="pl-PL"/>
        </w:rPr>
      </w:pPr>
      <w:r w:rsidRPr="00CC7B62">
        <w:rPr>
          <w:color w:val="auto"/>
          <w:lang w:val="pl-PL"/>
        </w:rPr>
        <w:t>ENGIE Polska należy do międzynarodowego koncernu energetycznego ENGIE, który specjalizuje się w niskoemisyjnych produktach i usługach, wspierając transformację energetyczną w Europie i na świecie. W Polsce grupa składa się z sześciu wyspecjalizowanych spółek, które dostarczają innowacyjne rozwiązania energetyczne dla miast, samorządów, przemysłu i sektora nieruchomości. ENGIE Polska koncentruje się na modernizacji systemów ciepłowniczych, rozwoju odnawialnych źródeł energii oraz wdrażaniu inteligentnych technologii zarządzania energią, przyczyniając się do poprawy efektywności energetycznej i redukcji emisji CO</w:t>
      </w:r>
      <w:r w:rsidRPr="00CC7B62">
        <w:rPr>
          <w:rFonts w:ascii="Cambria Math" w:hAnsi="Cambria Math" w:cs="Cambria Math"/>
          <w:color w:val="auto"/>
          <w:lang w:val="pl-PL"/>
        </w:rPr>
        <w:t>₂</w:t>
      </w:r>
      <w:r w:rsidRPr="00CC7B62">
        <w:rPr>
          <w:color w:val="auto"/>
          <w:lang w:val="pl-PL"/>
        </w:rPr>
        <w:t>.</w:t>
      </w:r>
    </w:p>
    <w:p w:rsidR="00CC7B62" w:rsidRPr="001A1C14" w:rsidRDefault="00CC7B62" w:rsidP="00CC7B62">
      <w:pPr>
        <w:pStyle w:val="Textedesaisie"/>
        <w:rPr>
          <w:rFonts w:ascii="Calibri" w:hAnsi="Calibri" w:cs="Calibri"/>
          <w:color w:val="auto"/>
          <w:lang w:val="pl-PL"/>
        </w:rPr>
      </w:pPr>
    </w:p>
    <w:tbl>
      <w:tblPr>
        <w:tblStyle w:val="Tabela-Siatk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2"/>
      </w:tblGrid>
      <w:tr w:rsidR="00CC7B62" w:rsidRPr="00486946" w:rsidTr="002A757D">
        <w:tc>
          <w:tcPr>
            <w:tcW w:w="4252" w:type="dxa"/>
          </w:tcPr>
          <w:p w:rsidR="00CC7B62" w:rsidRPr="001A1C14" w:rsidRDefault="00CC7B62" w:rsidP="002A757D">
            <w:pPr>
              <w:pStyle w:val="Textecontact"/>
              <w:rPr>
                <w:rStyle w:val="Bold"/>
                <w:rFonts w:ascii="Calibri" w:hAnsi="Calibri" w:cs="Calibri"/>
                <w:lang w:val="pl-PL"/>
              </w:rPr>
            </w:pPr>
            <w:r w:rsidRPr="001A1C14">
              <w:rPr>
                <w:rStyle w:val="Bold"/>
                <w:rFonts w:ascii="Calibri" w:hAnsi="Calibri" w:cs="Calibri"/>
                <w:lang w:val="pl-PL"/>
              </w:rPr>
              <w:t>Kontakt dla mediów:</w:t>
            </w:r>
          </w:p>
          <w:p w:rsidR="00CC7B62" w:rsidRPr="00486946" w:rsidRDefault="00CC7B62" w:rsidP="002A757D">
            <w:pPr>
              <w:pStyle w:val="Textecontact"/>
              <w:rPr>
                <w:rFonts w:ascii="Calibri" w:hAnsi="Calibri" w:cs="Calibri"/>
                <w:lang w:val="pl-PL"/>
              </w:rPr>
            </w:pPr>
            <w:r w:rsidRPr="00486946">
              <w:rPr>
                <w:rFonts w:ascii="Calibri" w:hAnsi="Calibri" w:cs="Calibri"/>
                <w:bCs/>
                <w:lang w:val="pl-PL"/>
              </w:rPr>
              <w:t>Magdalena Jaromińska</w:t>
            </w:r>
          </w:p>
          <w:p w:rsidR="00CC7B62" w:rsidRPr="00486946" w:rsidRDefault="00CC7B62" w:rsidP="002A757D">
            <w:pPr>
              <w:pStyle w:val="Textecontact"/>
              <w:rPr>
                <w:rFonts w:ascii="Calibri" w:hAnsi="Calibri" w:cs="Calibri"/>
                <w:lang w:val="pl-PL"/>
              </w:rPr>
            </w:pPr>
            <w:r w:rsidRPr="00486946">
              <w:rPr>
                <w:rFonts w:ascii="Calibri" w:hAnsi="Calibri" w:cs="Calibri"/>
                <w:lang w:val="pl-PL"/>
              </w:rPr>
              <w:t xml:space="preserve">Chief Communications </w:t>
            </w:r>
            <w:proofErr w:type="spellStart"/>
            <w:r w:rsidRPr="00486946">
              <w:rPr>
                <w:rFonts w:ascii="Calibri" w:hAnsi="Calibri" w:cs="Calibri"/>
                <w:lang w:val="pl-PL"/>
              </w:rPr>
              <w:t>Officer</w:t>
            </w:r>
            <w:proofErr w:type="spellEnd"/>
            <w:r w:rsidRPr="00486946">
              <w:rPr>
                <w:rFonts w:ascii="Calibri" w:hAnsi="Calibri" w:cs="Calibri"/>
                <w:lang w:val="pl-PL"/>
              </w:rPr>
              <w:t>/Kierownik ds. komunikacji</w:t>
            </w:r>
          </w:p>
          <w:p w:rsidR="00CC7B62" w:rsidRPr="00486946" w:rsidRDefault="00CC7B62" w:rsidP="002A757D">
            <w:pPr>
              <w:pStyle w:val="Textecontact"/>
              <w:rPr>
                <w:rFonts w:ascii="Calibri" w:hAnsi="Calibri" w:cs="Calibri"/>
                <w:lang w:val="pl-PL"/>
              </w:rPr>
            </w:pPr>
            <w:r w:rsidRPr="00486946">
              <w:rPr>
                <w:rFonts w:ascii="Calibri" w:hAnsi="Calibri" w:cs="Calibri"/>
                <w:lang w:val="pl-PL"/>
              </w:rPr>
              <w:t>M: +48 604 299 672</w:t>
            </w:r>
            <w:r w:rsidRPr="00486946">
              <w:rPr>
                <w:rFonts w:ascii="Calibri" w:hAnsi="Calibri" w:cs="Calibri"/>
                <w:lang w:val="pl-PL"/>
              </w:rPr>
              <w:br/>
            </w:r>
            <w:hyperlink r:id="rId11" w:tgtFrame="_blank" w:history="1">
              <w:r w:rsidRPr="00486946">
                <w:rPr>
                  <w:rStyle w:val="Hipercze"/>
                  <w:rFonts w:ascii="Calibri" w:hAnsi="Calibri" w:cs="Calibri"/>
                  <w:lang w:val="pl-PL"/>
                </w:rPr>
                <w:t>magdalena.jarominska@engie.com</w:t>
              </w:r>
            </w:hyperlink>
          </w:p>
          <w:p w:rsidR="00CC7B62" w:rsidRPr="00486946" w:rsidRDefault="00CC7B62" w:rsidP="002A757D">
            <w:pPr>
              <w:pStyle w:val="Textecontact"/>
              <w:rPr>
                <w:rFonts w:ascii="Calibri" w:hAnsi="Calibri" w:cs="Calibri"/>
              </w:rPr>
            </w:pPr>
          </w:p>
        </w:tc>
      </w:tr>
    </w:tbl>
    <w:p w:rsidR="00F92ECA" w:rsidRDefault="00F92ECA" w:rsidP="00CC7B62">
      <w:pPr>
        <w:pStyle w:val="Textedesaisie"/>
        <w:rPr>
          <w:color w:val="auto"/>
        </w:rPr>
      </w:pPr>
    </w:p>
    <w:sectPr w:rsidR="00F92ECA" w:rsidSect="00BA6623">
      <w:headerReference w:type="default" r:id="rId12"/>
      <w:footerReference w:type="default" r:id="rId13"/>
      <w:headerReference w:type="first" r:id="rId14"/>
      <w:type w:val="continuous"/>
      <w:pgSz w:w="11906" w:h="16838" w:code="9"/>
      <w:pgMar w:top="851" w:right="1701" w:bottom="851"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5E" w:rsidRDefault="008D2D5E" w:rsidP="003865B7">
      <w:r>
        <w:separator/>
      </w:r>
    </w:p>
  </w:endnote>
  <w:endnote w:type="continuationSeparator" w:id="0">
    <w:p w:rsidR="008D2D5E" w:rsidRDefault="008D2D5E" w:rsidP="0038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otham Black">
    <w:charset w:val="00"/>
    <w:family w:val="auto"/>
    <w:pitch w:val="variable"/>
    <w:sig w:usb0="A00000AF" w:usb1="50000048" w:usb2="00000000" w:usb3="00000000" w:csb0="0000011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0"/>
      <w:gridCol w:w="180"/>
      <w:gridCol w:w="540"/>
      <w:gridCol w:w="584"/>
    </w:tblGrid>
    <w:tr w:rsidR="00B63ACD" w:rsidTr="00B63ACD">
      <w:trPr>
        <w:trHeight w:hRule="exact" w:val="142"/>
      </w:trPr>
      <w:tc>
        <w:tcPr>
          <w:tcW w:w="7920" w:type="dxa"/>
          <w:gridSpan w:val="3"/>
          <w:tcBorders>
            <w:bottom w:val="single" w:sz="4" w:space="0" w:color="00817D" w:themeColor="accent3"/>
          </w:tcBorders>
          <w:vAlign w:val="bottom"/>
        </w:tcPr>
        <w:p w:rsidR="00B63ACD" w:rsidRPr="00585399" w:rsidRDefault="00B63ACD" w:rsidP="00585399">
          <w:pPr>
            <w:pStyle w:val="Stopka"/>
            <w:jc w:val="right"/>
            <w:rPr>
              <w:sz w:val="18"/>
              <w:szCs w:val="18"/>
            </w:rPr>
          </w:pPr>
        </w:p>
      </w:tc>
      <w:tc>
        <w:tcPr>
          <w:tcW w:w="584" w:type="dxa"/>
          <w:vMerge w:val="restart"/>
          <w:vAlign w:val="center"/>
        </w:tcPr>
        <w:p w:rsidR="00B63ACD" w:rsidRPr="00585399" w:rsidRDefault="00B63ACD" w:rsidP="000A1580">
          <w:pPr>
            <w:pStyle w:val="Stopka"/>
            <w:jc w:val="right"/>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E97EF5">
            <w:rPr>
              <w:noProof/>
              <w:sz w:val="18"/>
              <w:szCs w:val="18"/>
            </w:rPr>
            <w:t>3</w:t>
          </w:r>
          <w:r>
            <w:rPr>
              <w:sz w:val="18"/>
              <w:szCs w:val="18"/>
            </w:rPr>
            <w:fldChar w:fldCharType="end"/>
          </w:r>
        </w:p>
      </w:tc>
    </w:tr>
    <w:tr w:rsidR="00B63ACD" w:rsidTr="00B63ACD">
      <w:trPr>
        <w:trHeight w:hRule="exact" w:val="142"/>
      </w:trPr>
      <w:tc>
        <w:tcPr>
          <w:tcW w:w="7920" w:type="dxa"/>
          <w:gridSpan w:val="3"/>
          <w:tcBorders>
            <w:top w:val="single" w:sz="4" w:space="0" w:color="00817D" w:themeColor="accent3"/>
          </w:tcBorders>
          <w:vAlign w:val="bottom"/>
        </w:tcPr>
        <w:p w:rsidR="00B63ACD" w:rsidRPr="00585399" w:rsidRDefault="00B63ACD" w:rsidP="00585399">
          <w:pPr>
            <w:pStyle w:val="Stopka"/>
            <w:jc w:val="right"/>
            <w:rPr>
              <w:sz w:val="18"/>
              <w:szCs w:val="18"/>
            </w:rPr>
          </w:pPr>
        </w:p>
      </w:tc>
      <w:tc>
        <w:tcPr>
          <w:tcW w:w="584" w:type="dxa"/>
          <w:vMerge/>
          <w:vAlign w:val="bottom"/>
        </w:tcPr>
        <w:p w:rsidR="00B63ACD" w:rsidRPr="00585399" w:rsidRDefault="00B63ACD" w:rsidP="00585399">
          <w:pPr>
            <w:pStyle w:val="Stopka"/>
            <w:jc w:val="right"/>
            <w:rPr>
              <w:sz w:val="18"/>
              <w:szCs w:val="18"/>
            </w:rPr>
          </w:pPr>
        </w:p>
      </w:tc>
    </w:tr>
    <w:tr w:rsidR="00B63ACD" w:rsidTr="0046543F">
      <w:tc>
        <w:tcPr>
          <w:tcW w:w="7200" w:type="dxa"/>
          <w:vAlign w:val="bottom"/>
        </w:tcPr>
        <w:p w:rsidR="00B63ACD" w:rsidRPr="0046543F" w:rsidRDefault="00B63ACD" w:rsidP="0046543F">
          <w:pPr>
            <w:pStyle w:val="Adressepieddepage"/>
            <w:rPr>
              <w:color w:val="84A0AF"/>
            </w:rPr>
          </w:pPr>
          <w:r w:rsidRPr="0046543F">
            <w:rPr>
              <w:color w:val="84A0AF"/>
            </w:rPr>
            <w:t xml:space="preserve">Tour T1 – 1 place Samuel de Champlain – Faubourg de l’Arche - 92930 Paris La Défense cedex – France </w:t>
          </w:r>
        </w:p>
        <w:p w:rsidR="00B63ACD" w:rsidRPr="00585399" w:rsidRDefault="00B63ACD" w:rsidP="0046543F">
          <w:pPr>
            <w:pStyle w:val="Adressepieddepage"/>
          </w:pPr>
          <w:r w:rsidRPr="0046543F">
            <w:rPr>
              <w:color w:val="84A0AF"/>
            </w:rPr>
            <w:t>ENGIE – SA AU CAPITAL DE 2 435 285 011 EUROS – RCS NANTERRE 542 107 651 - Tél. : +33 (0)1 44 22 00 00</w:t>
          </w:r>
        </w:p>
      </w:tc>
      <w:tc>
        <w:tcPr>
          <w:tcW w:w="180" w:type="dxa"/>
          <w:vMerge w:val="restart"/>
        </w:tcPr>
        <w:p w:rsidR="00B63ACD" w:rsidRDefault="00B63ACD" w:rsidP="00585399">
          <w:pPr>
            <w:pStyle w:val="Stopka"/>
          </w:pPr>
        </w:p>
      </w:tc>
      <w:tc>
        <w:tcPr>
          <w:tcW w:w="1124" w:type="dxa"/>
          <w:gridSpan w:val="2"/>
          <w:vMerge w:val="restart"/>
          <w:vAlign w:val="bottom"/>
        </w:tcPr>
        <w:p w:rsidR="00B63ACD" w:rsidRPr="00B63ACD" w:rsidRDefault="00B63ACD" w:rsidP="00B63ACD">
          <w:pPr>
            <w:pStyle w:val="Texteadresseinternet"/>
          </w:pPr>
          <w:r w:rsidRPr="00B63ACD">
            <w:t>engie.com</w:t>
          </w:r>
        </w:p>
      </w:tc>
    </w:tr>
    <w:tr w:rsidR="00B63ACD" w:rsidTr="0046543F">
      <w:trPr>
        <w:trHeight w:hRule="exact" w:val="85"/>
      </w:trPr>
      <w:tc>
        <w:tcPr>
          <w:tcW w:w="7200" w:type="dxa"/>
          <w:vAlign w:val="bottom"/>
        </w:tcPr>
        <w:p w:rsidR="00B63ACD" w:rsidRPr="009705F1" w:rsidRDefault="00B63ACD" w:rsidP="00585399">
          <w:pPr>
            <w:pStyle w:val="Stopka"/>
            <w:spacing w:line="180" w:lineRule="atLeast"/>
            <w:rPr>
              <w:sz w:val="14"/>
              <w:szCs w:val="14"/>
            </w:rPr>
          </w:pPr>
        </w:p>
      </w:tc>
      <w:tc>
        <w:tcPr>
          <w:tcW w:w="180" w:type="dxa"/>
          <w:vMerge/>
        </w:tcPr>
        <w:p w:rsidR="00B63ACD" w:rsidRDefault="00B63ACD" w:rsidP="00585399">
          <w:pPr>
            <w:pStyle w:val="Stopka"/>
          </w:pPr>
        </w:p>
      </w:tc>
      <w:tc>
        <w:tcPr>
          <w:tcW w:w="1124" w:type="dxa"/>
          <w:gridSpan w:val="2"/>
          <w:vMerge/>
          <w:vAlign w:val="bottom"/>
        </w:tcPr>
        <w:p w:rsidR="00B63ACD" w:rsidRPr="00585399" w:rsidRDefault="00B63ACD" w:rsidP="00585399">
          <w:pPr>
            <w:pStyle w:val="Stopka"/>
            <w:jc w:val="right"/>
            <w:rPr>
              <w:sz w:val="18"/>
              <w:szCs w:val="18"/>
            </w:rPr>
          </w:pPr>
        </w:p>
      </w:tc>
    </w:tr>
  </w:tbl>
  <w:p w:rsidR="00B63ACD" w:rsidRPr="00585399" w:rsidRDefault="00B63ACD" w:rsidP="0058539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5E" w:rsidRDefault="008D2D5E" w:rsidP="003865B7">
      <w:r>
        <w:separator/>
      </w:r>
    </w:p>
  </w:footnote>
  <w:footnote w:type="continuationSeparator" w:id="0">
    <w:p w:rsidR="008D2D5E" w:rsidRDefault="008D2D5E" w:rsidP="00386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CD" w:rsidRDefault="00B63ACD" w:rsidP="003C7C34">
    <w:pPr>
      <w:pStyle w:val="Nagwek"/>
    </w:pPr>
  </w:p>
  <w:p w:rsidR="00B63ACD" w:rsidRPr="00A47F4D" w:rsidRDefault="00B63ACD" w:rsidP="00A47F4D">
    <w:pPr>
      <w:pStyle w:val="Nagwek"/>
    </w:pPr>
  </w:p>
  <w:p w:rsidR="00B63ACD" w:rsidRPr="00A47F4D" w:rsidRDefault="00B63ACD" w:rsidP="00A47F4D">
    <w:pPr>
      <w:pStyle w:val="Nagwek"/>
    </w:pPr>
  </w:p>
  <w:p w:rsidR="00B63ACD" w:rsidRPr="00A47F4D" w:rsidRDefault="00B63ACD" w:rsidP="00A47F4D">
    <w:pPr>
      <w:pStyle w:val="Nagwek"/>
    </w:pPr>
    <w:r>
      <w:rPr>
        <w:noProof/>
        <w:lang w:val="pl-PL" w:eastAsia="pl-PL"/>
      </w:rPr>
      <w:drawing>
        <wp:anchor distT="0" distB="0" distL="114300" distR="114300" simplePos="0" relativeHeight="251658240" behindDoc="1" locked="0" layoutInCell="1" allowOverlap="1" wp14:anchorId="1ACF6186" wp14:editId="20DD17D1">
          <wp:simplePos x="0" y="0"/>
          <wp:positionH relativeFrom="page">
            <wp:align>center</wp:align>
          </wp:positionH>
          <wp:positionV relativeFrom="page">
            <wp:posOffset>0</wp:posOffset>
          </wp:positionV>
          <wp:extent cx="1803600" cy="1440000"/>
          <wp:effectExtent l="0" t="0" r="635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rsidR="00B63ACD" w:rsidRPr="00A47F4D" w:rsidRDefault="00B63ACD" w:rsidP="00A47F4D">
    <w:pPr>
      <w:pStyle w:val="Nagwek"/>
    </w:pPr>
  </w:p>
  <w:p w:rsidR="00B63ACD" w:rsidRPr="00A47F4D" w:rsidRDefault="00B63ACD" w:rsidP="00A47F4D">
    <w:pPr>
      <w:pStyle w:val="Nagwek"/>
    </w:pPr>
  </w:p>
  <w:p w:rsidR="00B63ACD" w:rsidRPr="00A47F4D" w:rsidRDefault="00B63ACD" w:rsidP="00A47F4D">
    <w:pPr>
      <w:pStyle w:val="Nagwek"/>
    </w:pPr>
  </w:p>
  <w:p w:rsidR="00B63ACD" w:rsidRPr="00A47F4D" w:rsidRDefault="00B63ACD" w:rsidP="00FA024F">
    <w:pPr>
      <w:pStyle w:val="Nagwek"/>
      <w:spacing w:line="27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CD" w:rsidRDefault="00B63ACD">
    <w:pPr>
      <w:pStyle w:val="Nagwek"/>
    </w:pPr>
  </w:p>
  <w:p w:rsidR="00B63ACD" w:rsidRDefault="00B63ACD">
    <w:pPr>
      <w:pStyle w:val="Nagwek"/>
    </w:pPr>
  </w:p>
  <w:p w:rsidR="00B63ACD" w:rsidRDefault="00B63ACD">
    <w:pPr>
      <w:pStyle w:val="Nagwek"/>
    </w:pPr>
  </w:p>
  <w:p w:rsidR="00B63ACD" w:rsidRDefault="00B63ACD">
    <w:pPr>
      <w:pStyle w:val="Nagwek"/>
    </w:pPr>
  </w:p>
  <w:p w:rsidR="00B63ACD" w:rsidRDefault="00B63ACD">
    <w:pPr>
      <w:pStyle w:val="Nagwek"/>
    </w:pPr>
  </w:p>
  <w:p w:rsidR="00B63ACD" w:rsidRDefault="00B63ACD">
    <w:pPr>
      <w:pStyle w:val="Nagwek"/>
    </w:pPr>
  </w:p>
  <w:p w:rsidR="00B63ACD" w:rsidRDefault="00B63ACD">
    <w:pPr>
      <w:pStyle w:val="Nagwek"/>
    </w:pPr>
  </w:p>
  <w:p w:rsidR="00B63ACD" w:rsidRPr="00F7646B" w:rsidRDefault="00B63ACD" w:rsidP="00DB38D1">
    <w:pPr>
      <w:pStyle w:val="Nagwek"/>
      <w:spacing w:line="27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D4A9F"/>
    <w:multiLevelType w:val="hybridMultilevel"/>
    <w:tmpl w:val="F280B2FE"/>
    <w:lvl w:ilvl="0" w:tplc="237226DC">
      <w:start w:val="1"/>
      <w:numFmt w:val="bullet"/>
      <w:lvlText w:val="–"/>
      <w:lvlJc w:val="left"/>
      <w:pPr>
        <w:ind w:left="720" w:hanging="360"/>
      </w:pPr>
      <w:rPr>
        <w:rFonts w:ascii="Gotham Black" w:hAnsi="Gotham Black" w:hint="default"/>
        <w:caps w:val="0"/>
        <w:strike w:val="0"/>
        <w:dstrike w:val="0"/>
        <w:vanish w:val="0"/>
        <w:sz w:val="4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8C366D"/>
    <w:multiLevelType w:val="hybridMultilevel"/>
    <w:tmpl w:val="A08C9E06"/>
    <w:lvl w:ilvl="0" w:tplc="9DC629C2">
      <w:start w:val="1"/>
      <w:numFmt w:val="bullet"/>
      <w:lvlText w:val="–"/>
      <w:lvlJc w:val="left"/>
      <w:pPr>
        <w:ind w:left="720" w:hanging="360"/>
      </w:pPr>
      <w:rPr>
        <w:rFonts w:asciiTheme="majorHAnsi" w:hAnsiTheme="majorHAnsi" w:hint="default"/>
        <w:caps w:val="0"/>
        <w:strike w:val="0"/>
        <w:dstrike w:val="0"/>
        <w:vanish w:val="0"/>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8B5EF3"/>
    <w:multiLevelType w:val="hybridMultilevel"/>
    <w:tmpl w:val="D4DA5AFE"/>
    <w:lvl w:ilvl="0" w:tplc="7B62D2AC">
      <w:start w:val="1"/>
      <w:numFmt w:val="bullet"/>
      <w:lvlText w:val="–"/>
      <w:lvlJc w:val="left"/>
      <w:pPr>
        <w:ind w:left="720" w:hanging="360"/>
      </w:pPr>
      <w:rPr>
        <w:rFonts w:ascii="Gotham Black" w:hAnsi="Gotham Black"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B1460F"/>
    <w:multiLevelType w:val="hybridMultilevel"/>
    <w:tmpl w:val="D0F28BBC"/>
    <w:lvl w:ilvl="0" w:tplc="9FC28624">
      <w:start w:val="1"/>
      <w:numFmt w:val="bullet"/>
      <w:lvlText w:val="–"/>
      <w:lvlJc w:val="left"/>
      <w:pPr>
        <w:ind w:left="720" w:hanging="360"/>
      </w:pPr>
      <w:rPr>
        <w:rFonts w:ascii="Gotham Black" w:hAnsi="Gotham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94287"/>
    <w:multiLevelType w:val="hybridMultilevel"/>
    <w:tmpl w:val="E8DCEFBA"/>
    <w:lvl w:ilvl="0" w:tplc="33CC7510">
      <w:start w:val="1"/>
      <w:numFmt w:val="bullet"/>
      <w:pStyle w:val="Textepuce"/>
      <w:lvlText w:val="–"/>
      <w:lvlJc w:val="left"/>
      <w:pPr>
        <w:ind w:left="700" w:hanging="360"/>
      </w:pPr>
      <w:rPr>
        <w:rFonts w:asciiTheme="majorHAnsi" w:hAnsiTheme="majorHAnsi" w:cs="Times New Roman" w:hint="default"/>
        <w:caps w:val="0"/>
        <w:strike w:val="0"/>
        <w:dstrike w:val="0"/>
        <w:vanish w:val="0"/>
        <w:color w:val="00AAFF" w:themeColor="accent2"/>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62"/>
    <w:rsid w:val="00004D5E"/>
    <w:rsid w:val="000126F7"/>
    <w:rsid w:val="00040852"/>
    <w:rsid w:val="00081A29"/>
    <w:rsid w:val="000A1580"/>
    <w:rsid w:val="000C2302"/>
    <w:rsid w:val="000C711B"/>
    <w:rsid w:val="000F02A0"/>
    <w:rsid w:val="001064AF"/>
    <w:rsid w:val="001213BB"/>
    <w:rsid w:val="001960F0"/>
    <w:rsid w:val="001F5ED4"/>
    <w:rsid w:val="002019AB"/>
    <w:rsid w:val="002D2268"/>
    <w:rsid w:val="003076F7"/>
    <w:rsid w:val="00317240"/>
    <w:rsid w:val="00353E47"/>
    <w:rsid w:val="00386092"/>
    <w:rsid w:val="003865B7"/>
    <w:rsid w:val="00396690"/>
    <w:rsid w:val="003C1479"/>
    <w:rsid w:val="003C7C34"/>
    <w:rsid w:val="00431335"/>
    <w:rsid w:val="0046543F"/>
    <w:rsid w:val="004E5EE3"/>
    <w:rsid w:val="004F135C"/>
    <w:rsid w:val="005232F9"/>
    <w:rsid w:val="00550AF2"/>
    <w:rsid w:val="00562B4F"/>
    <w:rsid w:val="00585399"/>
    <w:rsid w:val="00633F2B"/>
    <w:rsid w:val="00702726"/>
    <w:rsid w:val="00706E83"/>
    <w:rsid w:val="00714945"/>
    <w:rsid w:val="007310D3"/>
    <w:rsid w:val="00747F71"/>
    <w:rsid w:val="0078427B"/>
    <w:rsid w:val="007A4D69"/>
    <w:rsid w:val="007C4C11"/>
    <w:rsid w:val="00814DE8"/>
    <w:rsid w:val="00840603"/>
    <w:rsid w:val="0084231F"/>
    <w:rsid w:val="00851EAB"/>
    <w:rsid w:val="008C0B76"/>
    <w:rsid w:val="008D1132"/>
    <w:rsid w:val="008D2D5E"/>
    <w:rsid w:val="00912DAB"/>
    <w:rsid w:val="00926547"/>
    <w:rsid w:val="009705F1"/>
    <w:rsid w:val="00971591"/>
    <w:rsid w:val="009764FA"/>
    <w:rsid w:val="00A17125"/>
    <w:rsid w:val="00A47F4D"/>
    <w:rsid w:val="00A63F44"/>
    <w:rsid w:val="00A70313"/>
    <w:rsid w:val="00A80E77"/>
    <w:rsid w:val="00B63ACD"/>
    <w:rsid w:val="00B63B08"/>
    <w:rsid w:val="00B75B31"/>
    <w:rsid w:val="00B77598"/>
    <w:rsid w:val="00BA6623"/>
    <w:rsid w:val="00BB3742"/>
    <w:rsid w:val="00C31EFC"/>
    <w:rsid w:val="00C5716E"/>
    <w:rsid w:val="00C86EEF"/>
    <w:rsid w:val="00CC7B62"/>
    <w:rsid w:val="00DB38D1"/>
    <w:rsid w:val="00DC29DB"/>
    <w:rsid w:val="00DD2712"/>
    <w:rsid w:val="00DE1589"/>
    <w:rsid w:val="00DF4C32"/>
    <w:rsid w:val="00E34CFC"/>
    <w:rsid w:val="00E97EF5"/>
    <w:rsid w:val="00EB73C0"/>
    <w:rsid w:val="00F45E8D"/>
    <w:rsid w:val="00F47D26"/>
    <w:rsid w:val="00F51D4C"/>
    <w:rsid w:val="00F7646B"/>
    <w:rsid w:val="00F80A72"/>
    <w:rsid w:val="00F92ECA"/>
    <w:rsid w:val="00FA0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1D2C"/>
  <w15:docId w15:val="{B038F019-60A3-4683-A1DD-D67CC6F0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ECA"/>
    <w:pPr>
      <w:spacing w:after="0" w:line="240" w:lineRule="atLeast"/>
    </w:pPr>
    <w:rPr>
      <w:color w:val="67AE6E" w:themeColor="background2"/>
      <w:sz w:val="20"/>
    </w:rPr>
  </w:style>
  <w:style w:type="paragraph" w:styleId="Nagwek1">
    <w:name w:val="heading 1"/>
    <w:basedOn w:val="Normalny"/>
    <w:next w:val="Normalny"/>
    <w:link w:val="Nagwek1Znak"/>
    <w:uiPriority w:val="9"/>
    <w:qFormat/>
    <w:rsid w:val="008D1132"/>
    <w:pPr>
      <w:keepNext/>
      <w:keepLines/>
      <w:spacing w:line="432" w:lineRule="exact"/>
      <w:jc w:val="center"/>
      <w:outlineLvl w:val="0"/>
    </w:pPr>
    <w:rPr>
      <w:rFonts w:asciiTheme="majorHAnsi" w:eastAsiaTheme="majorEastAsia" w:hAnsiTheme="majorHAnsi" w:cstheme="majorBidi"/>
      <w:bCs/>
      <w:color w:val="00AAFF" w:themeColor="accent2"/>
      <w:sz w:val="36"/>
      <w:szCs w:val="3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link w:val="NagwekZnak"/>
    <w:uiPriority w:val="99"/>
    <w:unhideWhenUsed/>
    <w:rsid w:val="002019AB"/>
    <w:pPr>
      <w:spacing w:after="0" w:line="240" w:lineRule="exact"/>
    </w:pPr>
    <w:rPr>
      <w:sz w:val="20"/>
    </w:rPr>
  </w:style>
  <w:style w:type="character" w:customStyle="1" w:styleId="NagwekZnak">
    <w:name w:val="Nagłówek Znak"/>
    <w:basedOn w:val="Domylnaczcionkaakapitu"/>
    <w:link w:val="Nagwek"/>
    <w:uiPriority w:val="99"/>
    <w:rsid w:val="002019AB"/>
    <w:rPr>
      <w:sz w:val="20"/>
    </w:rPr>
  </w:style>
  <w:style w:type="paragraph" w:styleId="Stopka">
    <w:name w:val="footer"/>
    <w:link w:val="StopkaZnak"/>
    <w:uiPriority w:val="99"/>
    <w:unhideWhenUsed/>
    <w:rsid w:val="003C7C34"/>
    <w:pPr>
      <w:spacing w:after="0" w:line="240" w:lineRule="exact"/>
    </w:pPr>
    <w:rPr>
      <w:sz w:val="20"/>
    </w:rPr>
  </w:style>
  <w:style w:type="character" w:customStyle="1" w:styleId="StopkaZnak">
    <w:name w:val="Stopka Znak"/>
    <w:basedOn w:val="Domylnaczcionkaakapitu"/>
    <w:link w:val="Stopka"/>
    <w:uiPriority w:val="99"/>
    <w:rsid w:val="003C7C34"/>
    <w:rPr>
      <w:sz w:val="20"/>
    </w:rPr>
  </w:style>
  <w:style w:type="paragraph" w:styleId="Tekstdymka">
    <w:name w:val="Balloon Text"/>
    <w:basedOn w:val="Normalny"/>
    <w:link w:val="TekstdymkaZnak"/>
    <w:uiPriority w:val="99"/>
    <w:semiHidden/>
    <w:unhideWhenUsed/>
    <w:rsid w:val="0039669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6690"/>
    <w:rPr>
      <w:rFonts w:ascii="Tahoma" w:hAnsi="Tahoma" w:cs="Tahoma"/>
      <w:sz w:val="16"/>
      <w:szCs w:val="16"/>
    </w:rPr>
  </w:style>
  <w:style w:type="character" w:customStyle="1" w:styleId="Nagwek1Znak">
    <w:name w:val="Nagłówek 1 Znak"/>
    <w:basedOn w:val="Domylnaczcionkaakapitu"/>
    <w:link w:val="Nagwek1"/>
    <w:uiPriority w:val="9"/>
    <w:rsid w:val="008D1132"/>
    <w:rPr>
      <w:rFonts w:asciiTheme="majorHAnsi" w:eastAsiaTheme="majorEastAsia" w:hAnsiTheme="majorHAnsi" w:cstheme="majorBidi"/>
      <w:bCs/>
      <w:color w:val="00AAFF" w:themeColor="accent2"/>
      <w:sz w:val="36"/>
      <w:szCs w:val="36"/>
      <w:lang w:val="en-US"/>
    </w:rPr>
  </w:style>
  <w:style w:type="table" w:styleId="Tabela-Siatka">
    <w:name w:val="Table Grid"/>
    <w:basedOn w:val="Standardowy"/>
    <w:uiPriority w:val="59"/>
    <w:rsid w:val="000C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postale">
    <w:name w:val="Adresse postale"/>
    <w:basedOn w:val="Normalny"/>
    <w:semiHidden/>
    <w:rsid w:val="00317240"/>
    <w:pPr>
      <w:spacing w:line="200" w:lineRule="atLeast"/>
    </w:pPr>
    <w:rPr>
      <w:color w:val="F4C867" w:themeColor="text2"/>
      <w:sz w:val="16"/>
      <w:szCs w:val="17"/>
    </w:rPr>
  </w:style>
  <w:style w:type="paragraph" w:customStyle="1" w:styleId="Adresseinternet">
    <w:name w:val="Adresse internet"/>
    <w:basedOn w:val="Adressepostale"/>
    <w:semiHidden/>
    <w:rsid w:val="00317240"/>
    <w:pPr>
      <w:framePr w:hSpace="142" w:wrap="around" w:hAnchor="margin" w:yAlign="bottom"/>
      <w:suppressOverlap/>
      <w:jc w:val="right"/>
    </w:pPr>
    <w:rPr>
      <w:color w:val="17255F" w:themeColor="accent1"/>
      <w:sz w:val="17"/>
    </w:rPr>
  </w:style>
  <w:style w:type="paragraph" w:customStyle="1" w:styleId="Adressesocit">
    <w:name w:val="Adresse société"/>
    <w:basedOn w:val="Adressepostale"/>
    <w:semiHidden/>
    <w:rsid w:val="00317240"/>
    <w:pPr>
      <w:framePr w:hSpace="142" w:wrap="around" w:hAnchor="margin" w:yAlign="bottom"/>
      <w:suppressOverlap/>
    </w:pPr>
    <w:rPr>
      <w:sz w:val="17"/>
    </w:rPr>
  </w:style>
  <w:style w:type="paragraph" w:customStyle="1" w:styleId="Numrodetlphone">
    <w:name w:val="Numéro de téléphone"/>
    <w:basedOn w:val="Adressepostale"/>
    <w:semiHidden/>
    <w:rsid w:val="002D2268"/>
    <w:pPr>
      <w:framePr w:hSpace="142" w:wrap="around" w:hAnchor="margin" w:yAlign="bottom"/>
      <w:suppressOverlap/>
    </w:pPr>
  </w:style>
  <w:style w:type="paragraph" w:customStyle="1" w:styleId="CapitalRCS">
    <w:name w:val="Capital RCS"/>
    <w:basedOn w:val="Adressepostale"/>
    <w:semiHidden/>
    <w:rsid w:val="002D2268"/>
    <w:pPr>
      <w:framePr w:hSpace="142" w:wrap="around" w:hAnchor="margin" w:yAlign="bottom"/>
      <w:suppressOverlap/>
    </w:pPr>
  </w:style>
  <w:style w:type="paragraph" w:customStyle="1" w:styleId="Intitul">
    <w:name w:val="Intitulé"/>
    <w:basedOn w:val="Normalny"/>
    <w:qFormat/>
    <w:rsid w:val="008D1132"/>
    <w:pPr>
      <w:jc w:val="right"/>
    </w:pPr>
    <w:rPr>
      <w:color w:val="17255F" w:themeColor="accent1"/>
      <w:sz w:val="28"/>
      <w:szCs w:val="28"/>
    </w:rPr>
  </w:style>
  <w:style w:type="paragraph" w:customStyle="1" w:styleId="Textepuce">
    <w:name w:val="Texte puce"/>
    <w:basedOn w:val="Textedesaisie"/>
    <w:qFormat/>
    <w:rsid w:val="00714945"/>
    <w:pPr>
      <w:numPr>
        <w:numId w:val="15"/>
      </w:numPr>
      <w:ind w:left="680" w:hanging="340"/>
    </w:pPr>
  </w:style>
  <w:style w:type="paragraph" w:customStyle="1" w:styleId="Texteadresseinternet">
    <w:name w:val="Texte adresse internet"/>
    <w:basedOn w:val="Stopka"/>
    <w:qFormat/>
    <w:rsid w:val="00B63ACD"/>
    <w:pPr>
      <w:jc w:val="right"/>
    </w:pPr>
    <w:rPr>
      <w:color w:val="00817D" w:themeColor="accent3"/>
      <w:sz w:val="18"/>
      <w:szCs w:val="18"/>
    </w:rPr>
  </w:style>
  <w:style w:type="paragraph" w:customStyle="1" w:styleId="Adressepieddepage">
    <w:name w:val="Adresse pied de page"/>
    <w:basedOn w:val="Stopka"/>
    <w:qFormat/>
    <w:rsid w:val="00BA6623"/>
    <w:pPr>
      <w:spacing w:line="180" w:lineRule="atLeast"/>
    </w:pPr>
    <w:rPr>
      <w:color w:val="00817D" w:themeColor="accent3"/>
      <w:sz w:val="14"/>
      <w:szCs w:val="14"/>
    </w:rPr>
  </w:style>
  <w:style w:type="character" w:customStyle="1" w:styleId="Bold">
    <w:name w:val="Bold"/>
    <w:basedOn w:val="Domylnaczcionkaakapitu"/>
    <w:uiPriority w:val="1"/>
    <w:qFormat/>
    <w:rsid w:val="0078427B"/>
    <w:rPr>
      <w:rFonts w:cs="Times New Roman"/>
      <w:b/>
      <w:lang w:val="en-US" w:eastAsia="x-none"/>
    </w:rPr>
  </w:style>
  <w:style w:type="paragraph" w:customStyle="1" w:styleId="Textedesaisie">
    <w:name w:val="Texte de saisie"/>
    <w:basedOn w:val="Normalny"/>
    <w:qFormat/>
    <w:rsid w:val="00562B4F"/>
    <w:pPr>
      <w:jc w:val="both"/>
    </w:pPr>
    <w:rPr>
      <w:color w:val="000000" w:themeColor="text1"/>
    </w:rPr>
  </w:style>
  <w:style w:type="paragraph" w:customStyle="1" w:styleId="Texteintroduction">
    <w:name w:val="Texte introduction"/>
    <w:basedOn w:val="Textedesaisie"/>
    <w:qFormat/>
    <w:rsid w:val="008C0B76"/>
    <w:rPr>
      <w:b/>
      <w:sz w:val="22"/>
    </w:rPr>
  </w:style>
  <w:style w:type="paragraph" w:customStyle="1" w:styleId="Datedudocument">
    <w:name w:val="Date du document"/>
    <w:basedOn w:val="Normalny"/>
    <w:qFormat/>
    <w:rsid w:val="008D1132"/>
    <w:pPr>
      <w:jc w:val="right"/>
    </w:pPr>
    <w:rPr>
      <w:color w:val="17255F" w:themeColor="accent1"/>
      <w:sz w:val="28"/>
      <w:szCs w:val="28"/>
    </w:rPr>
  </w:style>
  <w:style w:type="character" w:styleId="Hipercze">
    <w:name w:val="Hyperlink"/>
    <w:basedOn w:val="Domylnaczcionkaakapitu"/>
    <w:uiPriority w:val="99"/>
    <w:rsid w:val="008D1132"/>
    <w:rPr>
      <w:color w:val="00AAFF" w:themeColor="accent2"/>
      <w:u w:val="single"/>
    </w:rPr>
  </w:style>
  <w:style w:type="paragraph" w:customStyle="1" w:styleId="Texteapropos">
    <w:name w:val="Texte a propos"/>
    <w:basedOn w:val="Textedesaisie"/>
    <w:qFormat/>
    <w:rsid w:val="00F92ECA"/>
    <w:pPr>
      <w:spacing w:line="216" w:lineRule="atLeast"/>
    </w:pPr>
    <w:rPr>
      <w:color w:val="auto"/>
      <w:sz w:val="18"/>
      <w:szCs w:val="18"/>
    </w:rPr>
  </w:style>
  <w:style w:type="paragraph" w:customStyle="1" w:styleId="Textecontact">
    <w:name w:val="Texte contact"/>
    <w:basedOn w:val="Textedesaisie"/>
    <w:qFormat/>
    <w:rsid w:val="00F92ECA"/>
    <w:pPr>
      <w:spacing w:line="216" w:lineRule="atLeast"/>
      <w:jc w:val="left"/>
    </w:pPr>
    <w:rPr>
      <w:color w:val="auto"/>
      <w:sz w:val="18"/>
      <w:szCs w:val="18"/>
    </w:rPr>
  </w:style>
  <w:style w:type="paragraph" w:styleId="NormalnyWeb">
    <w:name w:val="Normal (Web)"/>
    <w:basedOn w:val="Normalny"/>
    <w:uiPriority w:val="99"/>
    <w:semiHidden/>
    <w:unhideWhenUsed/>
    <w:rsid w:val="00CC7B62"/>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6335">
      <w:bodyDiv w:val="1"/>
      <w:marLeft w:val="0"/>
      <w:marRight w:val="0"/>
      <w:marTop w:val="0"/>
      <w:marBottom w:val="0"/>
      <w:divBdr>
        <w:top w:val="none" w:sz="0" w:space="0" w:color="auto"/>
        <w:left w:val="none" w:sz="0" w:space="0" w:color="auto"/>
        <w:bottom w:val="none" w:sz="0" w:space="0" w:color="auto"/>
        <w:right w:val="none" w:sz="0" w:space="0" w:color="auto"/>
      </w:divBdr>
    </w:div>
    <w:div w:id="1261910482">
      <w:bodyDiv w:val="1"/>
      <w:marLeft w:val="0"/>
      <w:marRight w:val="0"/>
      <w:marTop w:val="0"/>
      <w:marBottom w:val="0"/>
      <w:divBdr>
        <w:top w:val="none" w:sz="0" w:space="0" w:color="auto"/>
        <w:left w:val="none" w:sz="0" w:space="0" w:color="auto"/>
        <w:bottom w:val="none" w:sz="0" w:space="0" w:color="auto"/>
        <w:right w:val="none" w:sz="0" w:space="0" w:color="auto"/>
      </w:divBdr>
      <w:divsChild>
        <w:div w:id="156992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408243">
      <w:bodyDiv w:val="1"/>
      <w:marLeft w:val="0"/>
      <w:marRight w:val="0"/>
      <w:marTop w:val="0"/>
      <w:marBottom w:val="0"/>
      <w:divBdr>
        <w:top w:val="none" w:sz="0" w:space="0" w:color="auto"/>
        <w:left w:val="none" w:sz="0" w:space="0" w:color="auto"/>
        <w:bottom w:val="none" w:sz="0" w:space="0" w:color="auto"/>
        <w:right w:val="none" w:sz="0" w:space="0" w:color="auto"/>
      </w:divBdr>
      <w:divsChild>
        <w:div w:id="1332103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dalena.jarominska@engi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j\Downloads\Press%20release%20Template%20(2).dotx" TargetMode="External"/></Relationships>
</file>

<file path=word/theme/theme1.xml><?xml version="1.0" encoding="utf-8"?>
<a:theme xmlns:a="http://schemas.openxmlformats.org/drawingml/2006/main" name="Thème Office">
  <a:themeElements>
    <a:clrScheme name="ENGIE WORD">
      <a:dk1>
        <a:sysClr val="windowText" lastClr="000000"/>
      </a:dk1>
      <a:lt1>
        <a:sysClr val="window" lastClr="FFFFFF"/>
      </a:lt1>
      <a:dk2>
        <a:srgbClr val="F4C867"/>
      </a:dk2>
      <a:lt2>
        <a:srgbClr val="67AE6E"/>
      </a:lt2>
      <a:accent1>
        <a:srgbClr val="17255F"/>
      </a:accent1>
      <a:accent2>
        <a:srgbClr val="00AAFF"/>
      </a:accent2>
      <a:accent3>
        <a:srgbClr val="00817D"/>
      </a:accent3>
      <a:accent4>
        <a:srgbClr val="E18554"/>
      </a:accent4>
      <a:accent5>
        <a:srgbClr val="1D8CBC"/>
      </a:accent5>
      <a:accent6>
        <a:srgbClr val="4BB0B9"/>
      </a:accent6>
      <a:hlink>
        <a:srgbClr val="000000"/>
      </a:hlink>
      <a:folHlink>
        <a:srgbClr val="000000"/>
      </a:folHlink>
    </a:clrScheme>
    <a:fontScheme name="Arial Black -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51BEBC1F51AFBC4FA9CABE1273F680D0" ma:contentTypeVersion="16" ma:contentTypeDescription="Utwórz nowy dokument." ma:contentTypeScope="" ma:versionID="5fe782b47889094dd2a2c9da467a79e4">
  <xsd:schema xmlns:xsd="http://www.w3.org/2001/XMLSchema" xmlns:xs="http://www.w3.org/2001/XMLSchema" xmlns:p="http://schemas.microsoft.com/office/2006/metadata/properties" xmlns:ns2="87037488-ec5d-4aba-84c2-9b1d22638e8e" xmlns:ns3="58b5a6ef-3976-4b86-a61c-2b233245df1a" xmlns:ns4="e0555a73-95f1-4537-8631-abe7d984fa9b" targetNamespace="http://schemas.microsoft.com/office/2006/metadata/properties" ma:root="true" ma:fieldsID="e2c88469c185f4f57674055d7e4ec425" ns2:_="" ns3:_="" ns4:_="">
    <xsd:import namespace="87037488-ec5d-4aba-84c2-9b1d22638e8e"/>
    <xsd:import namespace="58b5a6ef-3976-4b86-a61c-2b233245df1a"/>
    <xsd:import namespace="e0555a73-95f1-4537-8631-abe7d984fa9b"/>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b10c86-abff-4866-8eb6-950d4954d5e5}" ma:internalName="TaxCatchAll" ma:showField="CatchAllData" ma:web="e0555a73-95f1-4537-8631-abe7d984fa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b10c86-abff-4866-8eb6-950d4954d5e5}" ma:internalName="TaxCatchAllLabel" ma:readOnly="true" ma:showField="CatchAllDataLabel" ma:web="e0555a73-95f1-4537-8631-abe7d984f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b5a6ef-3976-4b86-a61c-2b233245df1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55a73-95f1-4537-8631-abe7d984fa9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b5a6ef-3976-4b86-a61c-2b233245df1a">
      <Terms xmlns="http://schemas.microsoft.com/office/infopath/2007/PartnerControls"/>
    </lcf76f155ced4ddcb4097134ff3c332f>
    <b1b820adfd3e4a078472514c1a5cb5ff xmlns="87037488-ec5d-4aba-84c2-9b1d22638e8e">
      <Terms xmlns="http://schemas.microsoft.com/office/infopath/2007/PartnerControls"/>
    </b1b820adfd3e4a078472514c1a5cb5ff>
    <TaxCatchAll xmlns="87037488-ec5d-4aba-84c2-9b1d22638e8e" xsi:nil="true"/>
  </documentManagement>
</p:properties>
</file>

<file path=customXml/itemProps1.xml><?xml version="1.0" encoding="utf-8"?>
<ds:datastoreItem xmlns:ds="http://schemas.openxmlformats.org/officeDocument/2006/customXml" ds:itemID="{F92E00FE-3F8A-4101-9AA7-C405E5B8461C}">
  <ds:schemaRefs>
    <ds:schemaRef ds:uri="http://schemas.microsoft.com/sharepoint/v3/contenttype/forms"/>
  </ds:schemaRefs>
</ds:datastoreItem>
</file>

<file path=customXml/itemProps2.xml><?xml version="1.0" encoding="utf-8"?>
<ds:datastoreItem xmlns:ds="http://schemas.openxmlformats.org/officeDocument/2006/customXml" ds:itemID="{BDD70757-20A6-4983-BC83-EA142C2D6308}">
  <ds:schemaRefs>
    <ds:schemaRef ds:uri="Microsoft.SharePoint.Taxonomy.ContentTypeSync"/>
  </ds:schemaRefs>
</ds:datastoreItem>
</file>

<file path=customXml/itemProps3.xml><?xml version="1.0" encoding="utf-8"?>
<ds:datastoreItem xmlns:ds="http://schemas.openxmlformats.org/officeDocument/2006/customXml" ds:itemID="{DB9D7AC7-08C6-48A5-BA35-3E95013CF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8b5a6ef-3976-4b86-a61c-2b233245df1a"/>
    <ds:schemaRef ds:uri="e0555a73-95f1-4537-8631-abe7d984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69931-3C41-47CF-A7DE-5846CA1A3900}">
  <ds:schemaRefs>
    <ds:schemaRef ds:uri="http://schemas.microsoft.com/office/2006/metadata/properties"/>
    <ds:schemaRef ds:uri="http://schemas.microsoft.com/office/infopath/2007/PartnerControls"/>
    <ds:schemaRef ds:uri="58b5a6ef-3976-4b86-a61c-2b233245df1a"/>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Press release Template (2)</Template>
  <TotalTime>18</TotalTime>
  <Pages>3</Pages>
  <Words>916</Words>
  <Characters>5501</Characters>
  <Application>Microsoft Office Word</Application>
  <DocSecurity>0</DocSecurity>
  <Lines>45</Lines>
  <Paragraphs>12</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ENGIE</vt:lpstr>
      <vt:lpstr>ENGIE</vt:lpstr>
    </vt:vector>
  </TitlesOfParts>
  <Manager>ENGIE</Manager>
  <Company>ENGIE</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ENGIE</dc:title>
  <dc:subject>ENGIE</dc:subject>
  <dc:creator>Alicja Dołęgowska</dc:creator>
  <cp:lastModifiedBy>Alicja Dołęgowska</cp:lastModifiedBy>
  <cp:revision>3</cp:revision>
  <dcterms:created xsi:type="dcterms:W3CDTF">2025-05-23T11:18:00Z</dcterms:created>
  <dcterms:modified xsi:type="dcterms:W3CDTF">2025-05-25T17:53:00Z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0x01010051BEBC1F51AFBC4FA9CABE1273F680D0</vt:lpwstr>
  </property>
</Properties>
</file>