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Medicover wprowadza Multicover – kompleksowe rozwiązanie dla zdrowia pracowników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2025-05-20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odpowiedzi na rosnące wyzwania związane z absencją chorobową, oczekiwaniami pracowników oraz ograniczonymi budżetami benefitowymi, Medicover wprowadza na rynek nowy pakiet świadczeń – Multicover. To zintegrowane rozwiązanie łączące prywatną opiekę medyczną, dostęp do infrastruktury sportowej oraz leczenie szpitalne ortopedyczne.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Multicover został zaprojektowany z myślą o średnich i dużych organizacjach, które chcą skutecznie wspierać zdrowie swoich zespołów, jednocześnie upraszczając procesy administracyjne i optymalizując koszty. Pakiet obejmuje: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prywatną opiekę medyczną,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dostęp do ponad 5700 obiektów sportowych w całej Polsce,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szpitalne leczenie ortopedyczne w ponad 40 placówkach, w tym w certyfikowanym przez FIFA ośrodku Rehasport.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danych Medicover wynika, że aż 74% pracowników nie spełnia norm WHO dotyczących aktywności fizycznej, a 23% procedur szpitalnych realizowanych w ramach programów Medicover ma charakter ortopedyczny. Choroby układu ruchu są jedną z najczęstszych przyczyn absencji chorobowej, co przekłada się na realne straty dla pracodawców.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Multicover to odpowiedź na rzeczywiste potrzeby rynku pracy. Pracodawcy szukają rozwiązań, które nie tylko wspierają zdrowie pracowników, ale też są łatwe w zarządzaniu i efektywne kosztowo. Dzięki integracji trzech kluczowych obszarów – medycyny, aktywności fizycznej i ortopedii – oferujemy pakiet, który realnie wpływa na ograniczenie absencji i poprawę dobrostanu zespołów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Krzysztof Świetlik, Dyrektor Departamentu Sprzedaży i Marketingu w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Według danych z raportu „Praca. Zdrowie. Ekonomia. Perspektywa 2023” dzięki ograniczeniu liczby zwolnień lekarskich, firma może zaoszczędzić nawet 1462 zł rocznie na jednego pracownika objętego opieką Medicover. Dodatkową korzyścią jest uproszczenie procesów HR – jedna umowa, jeden dostawca, jeden pakiet.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Multicover to nowoczesne podejście do benefitów pracowniczych, które łączy troskę o zdrowie z efektywnością operacyjną i finansową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podsumowuje Krzysztof Świetlik.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wprowadza Multicover – kompleksowe rozwiązanie dla zdrowia pracowników.png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64c4c16738b5a2d2c74710f79c6ea01033625456adbdb940b669f164b10e0e6dmedicover-wprowadza-multicover-ko20250521-9-u55n2a.docx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