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ADA628" w14:textId="25F9CC78" w:rsidR="000B39E5" w:rsidRDefault="001D14C2" w:rsidP="000B39E5">
      <w:pPr>
        <w:autoSpaceDE w:val="0"/>
        <w:autoSpaceDN w:val="0"/>
        <w:adjustRightInd w:val="0"/>
        <w:spacing w:line="276" w:lineRule="auto"/>
        <w:rPr>
          <w:rFonts w:ascii="Noto Sans" w:hAnsi="Noto Sans" w:cs="Noto Sans"/>
          <w:b/>
          <w:bCs/>
          <w:sz w:val="20"/>
          <w:szCs w:val="20"/>
        </w:rPr>
      </w:pPr>
      <w:r>
        <w:rPr>
          <w:rFonts w:ascii="Noto Sans" w:hAnsi="Noto Sans" w:cs="Noto Sans"/>
          <w:b/>
          <w:bCs/>
          <w:sz w:val="20"/>
          <w:szCs w:val="20"/>
          <w:lang w:val="fr"/>
        </w:rPr>
        <w:t>Réflexion de Domino – T4 2024/2025</w:t>
      </w:r>
    </w:p>
    <w:p w14:paraId="778419D3" w14:textId="26D0389F" w:rsidR="001D14C2" w:rsidRDefault="001D14C2" w:rsidP="000B39E5">
      <w:pPr>
        <w:autoSpaceDE w:val="0"/>
        <w:autoSpaceDN w:val="0"/>
        <w:adjustRightInd w:val="0"/>
        <w:spacing w:line="276" w:lineRule="auto"/>
        <w:rPr>
          <w:rFonts w:ascii="Noto Sans" w:hAnsi="Noto Sans" w:cs="Noto Sans"/>
          <w:b/>
          <w:bCs/>
          <w:color w:val="1C1C1C"/>
          <w:sz w:val="20"/>
          <w:szCs w:val="20"/>
          <w:shd w:val="clear" w:color="auto" w:fill="FFFFFF"/>
        </w:rPr>
      </w:pPr>
      <w:r>
        <w:rPr>
          <w:rFonts w:ascii="Noto Sans" w:hAnsi="Noto Sans" w:cs="Noto Sans"/>
          <w:b/>
          <w:bCs/>
          <w:color w:val="1C1C1C"/>
          <w:sz w:val="20"/>
          <w:szCs w:val="20"/>
          <w:shd w:val="clear" w:color="auto" w:fill="FFFFFF"/>
          <w:lang w:val="fr"/>
        </w:rPr>
        <w:t>Efficient, connecté, transparent : l'entreposage automatisé dans les chaînes logistiques modernes</w:t>
      </w:r>
    </w:p>
    <w:p w14:paraId="369B8737" w14:textId="77777777" w:rsidR="00026E91" w:rsidRPr="00550DC6" w:rsidRDefault="00026E91" w:rsidP="00550DC6">
      <w:pPr>
        <w:pStyle w:val="ListParagraph"/>
        <w:numPr>
          <w:ilvl w:val="0"/>
          <w:numId w:val="11"/>
        </w:numPr>
        <w:autoSpaceDE w:val="0"/>
        <w:autoSpaceDN w:val="0"/>
        <w:adjustRightInd w:val="0"/>
        <w:spacing w:line="276" w:lineRule="auto"/>
        <w:rPr>
          <w:rFonts w:ascii="Noto Sans" w:hAnsi="Noto Sans" w:cs="Noto Sans"/>
          <w:i/>
          <w:iCs/>
          <w:sz w:val="20"/>
          <w:szCs w:val="20"/>
        </w:rPr>
      </w:pPr>
      <w:r>
        <w:rPr>
          <w:rFonts w:ascii="Noto Sans" w:hAnsi="Noto Sans" w:cs="Noto Sans"/>
          <w:i/>
          <w:iCs/>
          <w:sz w:val="20"/>
          <w:szCs w:val="20"/>
          <w:lang w:val="fr"/>
        </w:rPr>
        <w:t xml:space="preserve">Toby Odlin, Directeur Group Logistics and Supply Chain Projects, Domino Printing Sciences </w:t>
      </w:r>
    </w:p>
    <w:p w14:paraId="07BF8AC3" w14:textId="7FD2C21B" w:rsidR="00026E91" w:rsidRPr="00550DC6" w:rsidRDefault="00026E91" w:rsidP="00550DC6">
      <w:pPr>
        <w:pStyle w:val="ListParagraph"/>
        <w:numPr>
          <w:ilvl w:val="0"/>
          <w:numId w:val="11"/>
        </w:numPr>
        <w:autoSpaceDE w:val="0"/>
        <w:autoSpaceDN w:val="0"/>
        <w:adjustRightInd w:val="0"/>
        <w:spacing w:line="276" w:lineRule="auto"/>
        <w:rPr>
          <w:rFonts w:ascii="Noto Sans" w:hAnsi="Noto Sans" w:cs="Noto Sans"/>
          <w:i/>
          <w:iCs/>
          <w:sz w:val="20"/>
          <w:szCs w:val="20"/>
        </w:rPr>
      </w:pPr>
      <w:r>
        <w:rPr>
          <w:rFonts w:ascii="Noto Sans" w:hAnsi="Noto Sans" w:cs="Noto Sans"/>
          <w:i/>
          <w:iCs/>
          <w:sz w:val="20"/>
          <w:szCs w:val="20"/>
          <w:lang w:val="fr"/>
        </w:rPr>
        <w:t xml:space="preserve">Andreas Olsson, Global Sector Manager – Logistics and Distribution, Domino Printing Sciences </w:t>
      </w:r>
    </w:p>
    <w:p w14:paraId="61297720" w14:textId="69D85D54" w:rsidR="00026E91" w:rsidRPr="00550DC6" w:rsidRDefault="00026E91" w:rsidP="00550DC6">
      <w:pPr>
        <w:pStyle w:val="ListParagraph"/>
        <w:numPr>
          <w:ilvl w:val="0"/>
          <w:numId w:val="11"/>
        </w:numPr>
        <w:autoSpaceDE w:val="0"/>
        <w:autoSpaceDN w:val="0"/>
        <w:adjustRightInd w:val="0"/>
        <w:spacing w:line="276" w:lineRule="auto"/>
        <w:rPr>
          <w:rFonts w:ascii="Noto Sans" w:hAnsi="Noto Sans" w:cs="Noto Sans"/>
          <w:i/>
          <w:iCs/>
          <w:sz w:val="20"/>
          <w:szCs w:val="20"/>
        </w:rPr>
      </w:pPr>
      <w:r>
        <w:rPr>
          <w:rFonts w:ascii="Noto Sans" w:hAnsi="Noto Sans" w:cs="Noto Sans"/>
          <w:i/>
          <w:iCs/>
          <w:sz w:val="20"/>
          <w:szCs w:val="20"/>
          <w:lang w:val="fr"/>
        </w:rPr>
        <w:t>Paul Stinson, Directeur commercial, Lake Image Systems</w:t>
      </w:r>
    </w:p>
    <w:p w14:paraId="50961BA0" w14:textId="77777777" w:rsidR="00026E91" w:rsidRDefault="00026E91" w:rsidP="00550DC6">
      <w:pPr>
        <w:autoSpaceDE w:val="0"/>
        <w:autoSpaceDN w:val="0"/>
        <w:adjustRightInd w:val="0"/>
        <w:spacing w:after="0" w:line="276" w:lineRule="auto"/>
        <w:rPr>
          <w:rFonts w:ascii="Noto Sans" w:hAnsi="Noto Sans" w:cs="Noto Sans"/>
          <w:i/>
          <w:iCs/>
          <w:sz w:val="20"/>
          <w:szCs w:val="20"/>
        </w:rPr>
      </w:pPr>
    </w:p>
    <w:p w14:paraId="216C2E4F" w14:textId="32863199" w:rsidR="00E368BC" w:rsidRPr="00FC60D1" w:rsidRDefault="00E368BC" w:rsidP="000B39E5">
      <w:pPr>
        <w:autoSpaceDE w:val="0"/>
        <w:autoSpaceDN w:val="0"/>
        <w:adjustRightInd w:val="0"/>
        <w:spacing w:line="276" w:lineRule="auto"/>
        <w:rPr>
          <w:rFonts w:ascii="Noto Sans" w:hAnsi="Noto Sans" w:cs="Noto Sans"/>
          <w:i/>
          <w:iCs/>
          <w:sz w:val="20"/>
          <w:szCs w:val="20"/>
          <w:lang w:val="es-ES"/>
        </w:rPr>
      </w:pPr>
      <w:r>
        <w:rPr>
          <w:rFonts w:ascii="Noto Sans" w:hAnsi="Noto Sans" w:cs="Noto Sans"/>
          <w:i/>
          <w:iCs/>
          <w:sz w:val="20"/>
          <w:szCs w:val="20"/>
          <w:lang w:val="fr"/>
        </w:rPr>
        <w:t xml:space="preserve">Aujourd'hui, les responsables des chaînes logistiques et des entrepôts doivent relever de nombreux défis résultant d'une combinaison de perturbations mondiales et de l'évolution des demandes du marché. </w:t>
      </w:r>
    </w:p>
    <w:p w14:paraId="11D793C0" w14:textId="4F8AC73D" w:rsidR="001D14C2" w:rsidRPr="00FC60D1" w:rsidRDefault="002712C5" w:rsidP="000B39E5">
      <w:pPr>
        <w:autoSpaceDE w:val="0"/>
        <w:autoSpaceDN w:val="0"/>
        <w:adjustRightInd w:val="0"/>
        <w:spacing w:line="276" w:lineRule="auto"/>
        <w:rPr>
          <w:rFonts w:ascii="Noto Sans" w:hAnsi="Noto Sans" w:cs="Noto Sans"/>
          <w:i/>
          <w:iCs/>
          <w:sz w:val="20"/>
          <w:szCs w:val="20"/>
          <w:lang w:val="es-ES"/>
        </w:rPr>
      </w:pPr>
      <w:r>
        <w:rPr>
          <w:rFonts w:ascii="Noto Sans" w:hAnsi="Noto Sans" w:cs="Noto Sans"/>
          <w:i/>
          <w:iCs/>
          <w:sz w:val="20"/>
          <w:szCs w:val="20"/>
          <w:lang w:val="fr"/>
        </w:rPr>
        <w:t xml:space="preserve">Les défis auxquels sont confrontés les professionnels de la logistique et de l'entreposage sont complexes et interconnectés, qu'il s'agisse de la pénurie de main-d'œuvre qualifiée, de l'augmentation des coûts, de l'évolution des exigences réglementaires, des attentes changeantes des consommateurs ou des tensions géopolitiques à l'origine de problèmes d'expédition et d'approvisionnement. </w:t>
      </w:r>
    </w:p>
    <w:p w14:paraId="71338C05" w14:textId="2699AC07" w:rsidR="00E368BC" w:rsidRPr="00FC60D1" w:rsidRDefault="00E368BC" w:rsidP="000B39E5">
      <w:pPr>
        <w:autoSpaceDE w:val="0"/>
        <w:autoSpaceDN w:val="0"/>
        <w:adjustRightInd w:val="0"/>
        <w:spacing w:line="276" w:lineRule="auto"/>
        <w:rPr>
          <w:rFonts w:ascii="Noto Sans" w:hAnsi="Noto Sans" w:cs="Noto Sans"/>
          <w:i/>
          <w:iCs/>
          <w:sz w:val="20"/>
          <w:szCs w:val="20"/>
          <w:lang w:val="es-ES"/>
        </w:rPr>
      </w:pPr>
      <w:r>
        <w:rPr>
          <w:rFonts w:ascii="Noto Sans" w:hAnsi="Noto Sans" w:cs="Noto Sans"/>
          <w:i/>
          <w:iCs/>
          <w:sz w:val="20"/>
          <w:szCs w:val="20"/>
          <w:lang w:val="fr"/>
        </w:rPr>
        <w:t>Même si ces problématiques peuvent sembler insurmontables, les technologies intelligentes et l'automatisation montrent la voie à suivre pour changer les choses, en aidant les responsables d'entrepôts à traiter ces questions urgentes de manière globale, tout en restant alignés sur les objectifs de traçabilité de la chaîne logistique au sens large.</w:t>
      </w:r>
    </w:p>
    <w:p w14:paraId="02E87176" w14:textId="443BF9A7" w:rsidR="00A4639E" w:rsidRPr="00FC60D1" w:rsidRDefault="006921CF" w:rsidP="000B39E5">
      <w:pPr>
        <w:autoSpaceDE w:val="0"/>
        <w:autoSpaceDN w:val="0"/>
        <w:adjustRightInd w:val="0"/>
        <w:spacing w:line="276" w:lineRule="auto"/>
        <w:rPr>
          <w:rFonts w:ascii="Noto Sans" w:hAnsi="Noto Sans" w:cs="Noto Sans"/>
          <w:b/>
          <w:bCs/>
          <w:sz w:val="20"/>
          <w:szCs w:val="20"/>
          <w:lang w:val="es-ES"/>
        </w:rPr>
      </w:pPr>
      <w:r>
        <w:rPr>
          <w:rFonts w:ascii="Noto Sans" w:hAnsi="Noto Sans" w:cs="Noto Sans"/>
          <w:b/>
          <w:bCs/>
          <w:sz w:val="20"/>
          <w:szCs w:val="20"/>
          <w:lang w:val="fr"/>
        </w:rPr>
        <w:t xml:space="preserve">Des défis commerciaux à l'échelle mondiale </w:t>
      </w:r>
    </w:p>
    <w:p w14:paraId="32A49B85" w14:textId="77777777" w:rsidR="00154852" w:rsidRPr="00FC60D1" w:rsidRDefault="0082645A" w:rsidP="000B39E5">
      <w:pPr>
        <w:autoSpaceDE w:val="0"/>
        <w:autoSpaceDN w:val="0"/>
        <w:adjustRightInd w:val="0"/>
        <w:spacing w:line="276" w:lineRule="auto"/>
        <w:rPr>
          <w:rFonts w:ascii="Noto Sans" w:hAnsi="Noto Sans" w:cs="Noto Sans"/>
          <w:sz w:val="20"/>
          <w:szCs w:val="20"/>
          <w:lang w:val="fr"/>
        </w:rPr>
      </w:pPr>
      <w:r>
        <w:rPr>
          <w:rFonts w:ascii="Noto Sans" w:hAnsi="Noto Sans" w:cs="Noto Sans"/>
          <w:sz w:val="20"/>
          <w:szCs w:val="20"/>
          <w:lang w:val="fr"/>
        </w:rPr>
        <w:t xml:space="preserve">Ces dernières années ont été marquées par un contexte économique et commercial de plus en plus difficile, et 2025 devrait elle aussi s'inscrire dans cette tendance. Comme l'indique le rapport de Deloitte sur les perspectives du secteur de la production industrielle pour 2025, « les industriels devraient continuer à faire face à un climat commercial difficile et incertain en raison d'une combinaison d'augmentation des coûts, de changements politiques potentiels à la suite des élections américaines et d’autres élections dans le monde, et des incertitudes géopolitiques ». </w:t>
      </w:r>
    </w:p>
    <w:p w14:paraId="20EABBFC" w14:textId="70695305" w:rsidR="0082645A" w:rsidRPr="00FC60D1" w:rsidRDefault="0082645A" w:rsidP="000B39E5">
      <w:pPr>
        <w:autoSpaceDE w:val="0"/>
        <w:autoSpaceDN w:val="0"/>
        <w:adjustRightInd w:val="0"/>
        <w:spacing w:line="276" w:lineRule="auto"/>
        <w:rPr>
          <w:rFonts w:ascii="Noto Sans" w:hAnsi="Noto Sans" w:cs="Noto Sans"/>
          <w:sz w:val="20"/>
          <w:szCs w:val="20"/>
          <w:lang w:val="fr"/>
        </w:rPr>
      </w:pPr>
      <w:r>
        <w:rPr>
          <w:rFonts w:ascii="Noto Sans" w:hAnsi="Noto Sans" w:cs="Noto Sans"/>
          <w:sz w:val="20"/>
          <w:szCs w:val="20"/>
          <w:lang w:val="fr"/>
        </w:rPr>
        <w:t xml:space="preserve">Les coûts des matières premières et des autres intrants </w:t>
      </w:r>
      <w:hyperlink r:id="rId8" w:history="1">
        <w:r>
          <w:rPr>
            <w:rStyle w:val="Hyperlink"/>
            <w:rFonts w:ascii="Noto Sans" w:hAnsi="Noto Sans" w:cs="Noto Sans"/>
            <w:sz w:val="20"/>
            <w:szCs w:val="20"/>
            <w:lang w:val="fr"/>
          </w:rPr>
          <w:t>devraient augmenter</w:t>
        </w:r>
      </w:hyperlink>
      <w:r>
        <w:rPr>
          <w:rFonts w:ascii="Noto Sans" w:hAnsi="Noto Sans" w:cs="Noto Sans"/>
          <w:sz w:val="20"/>
          <w:szCs w:val="20"/>
          <w:lang w:val="fr"/>
        </w:rPr>
        <w:t xml:space="preserve">, alourdissant les coûts d'exploitation, tandis qu'il restera difficile de trouver et de conserver de la main-d'œuvre qualifiée. Les changements politiques prévus à la suite des élections dans le monde et d'autres événements géopolitiques pourraient également avoir un impact sur les chaînes logistiques, sur la demande et sur les investissements à long terme dans le secteur de la production industrielle. Les modifications des politiques commerciales et des droits de douane pourraient affecter les réglementations internationales, faire grimper les coûts des matières premières et des composants, et se répercuter sur l'ensemble de la chaîne d’approvisionnement. </w:t>
      </w:r>
    </w:p>
    <w:p w14:paraId="2EA06FB2" w14:textId="23B5F9F7" w:rsidR="0082645A" w:rsidRPr="00FC60D1" w:rsidRDefault="0082645A" w:rsidP="000B39E5">
      <w:p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lastRenderedPageBreak/>
        <w:t xml:space="preserve">En parallèle, les attentes des consommateurs en matière de délais de livraison, de capacités de distribution « type Amazon » et de transparence accrue de la chaîne logistique augmentent la pression sur les responsables des chaînes logistiques et des entrepôts. </w:t>
      </w:r>
    </w:p>
    <w:p w14:paraId="018CE733" w14:textId="37270B38" w:rsidR="005C7F7A" w:rsidRPr="00FC60D1" w:rsidRDefault="00154852" w:rsidP="000B39E5">
      <w:p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t xml:space="preserve">Cet ensemble complexe d'interdépendances incite les entreprises à rechercher des moyens d'accroître leur productivité et de faire plus avec moins : produire et expédier les marchandises plus rapidement sans augmenter les coûts. Cela requiert agilité et efficacité opérationnelle, avec des flux de travail optimisés et une visibilité en temps quasi réel de l'offre et de la demande, afin de pouvoir gérer les perturbations et les pénuries et d'honorer les commandes de manière fiable et transparente. </w:t>
      </w:r>
    </w:p>
    <w:p w14:paraId="0D2441A0" w14:textId="50BE9329" w:rsidR="005C7F7A" w:rsidRPr="00FC60D1" w:rsidRDefault="005C7F7A" w:rsidP="000B39E5">
      <w:pPr>
        <w:autoSpaceDE w:val="0"/>
        <w:autoSpaceDN w:val="0"/>
        <w:adjustRightInd w:val="0"/>
        <w:spacing w:line="276" w:lineRule="auto"/>
        <w:rPr>
          <w:rFonts w:ascii="Noto Sans" w:hAnsi="Noto Sans" w:cs="Noto Sans"/>
          <w:sz w:val="20"/>
          <w:szCs w:val="20"/>
          <w:lang w:val="fr"/>
        </w:rPr>
      </w:pPr>
      <w:r>
        <w:rPr>
          <w:rFonts w:ascii="Noto Sans" w:hAnsi="Noto Sans" w:cs="Noto Sans"/>
          <w:sz w:val="20"/>
          <w:szCs w:val="20"/>
          <w:lang w:val="fr"/>
        </w:rPr>
        <w:t xml:space="preserve">On pourrait penser qu'il s'agit là d'un défi impossible à relever. Mais de nos jours, la technologie intelligente et l'automatisation sont là pour aider les entreprises. </w:t>
      </w:r>
    </w:p>
    <w:p w14:paraId="2A6149F5" w14:textId="4C0A9DE1" w:rsidR="00453AF6" w:rsidRPr="00FC60D1" w:rsidRDefault="00453AF6" w:rsidP="000B39E5">
      <w:pPr>
        <w:autoSpaceDE w:val="0"/>
        <w:autoSpaceDN w:val="0"/>
        <w:adjustRightInd w:val="0"/>
        <w:spacing w:line="276" w:lineRule="auto"/>
        <w:rPr>
          <w:rFonts w:ascii="Noto Sans" w:hAnsi="Noto Sans" w:cs="Noto Sans"/>
          <w:b/>
          <w:bCs/>
          <w:sz w:val="20"/>
          <w:szCs w:val="20"/>
          <w:lang w:val="fr"/>
        </w:rPr>
      </w:pPr>
      <w:r>
        <w:rPr>
          <w:rFonts w:ascii="Noto Sans" w:hAnsi="Noto Sans" w:cs="Noto Sans"/>
          <w:b/>
          <w:bCs/>
          <w:sz w:val="20"/>
          <w:szCs w:val="20"/>
          <w:lang w:val="fr"/>
        </w:rPr>
        <w:t>Les avantages de l'automatisation des entrepôts</w:t>
      </w:r>
    </w:p>
    <w:p w14:paraId="354C7F0E" w14:textId="011BC607" w:rsidR="004E7371" w:rsidRPr="00FC60D1" w:rsidRDefault="004E7371" w:rsidP="000B39E5">
      <w:pPr>
        <w:autoSpaceDE w:val="0"/>
        <w:autoSpaceDN w:val="0"/>
        <w:adjustRightInd w:val="0"/>
        <w:spacing w:line="276" w:lineRule="auto"/>
        <w:rPr>
          <w:rFonts w:ascii="Noto Sans" w:hAnsi="Noto Sans" w:cs="Noto Sans"/>
          <w:sz w:val="20"/>
          <w:szCs w:val="20"/>
          <w:lang w:val="fr"/>
        </w:rPr>
      </w:pPr>
      <w:r>
        <w:rPr>
          <w:rFonts w:ascii="Noto Sans" w:hAnsi="Noto Sans" w:cs="Noto Sans"/>
          <w:sz w:val="20"/>
          <w:szCs w:val="20"/>
          <w:lang w:val="fr"/>
        </w:rPr>
        <w:t xml:space="preserve">Les entreprises investissent dans l'automatisation des entrepôts depuis des décennies, en s'appuyant sur la technologie pour automatiser les processus routiniers, répétitifs et manuels, notamment la préparation des commandes, la palettisation, la saisie, le transfert et l'analyse des données, la gestion des stocks, le contrôle de la qualité et l'expédition. </w:t>
      </w:r>
    </w:p>
    <w:p w14:paraId="0CD145F4" w14:textId="2135EBAF" w:rsidR="004E7371" w:rsidRPr="00FC60D1" w:rsidRDefault="004E7371" w:rsidP="000B39E5">
      <w:p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t xml:space="preserve">Cette tendance s'est considérablement renforcée ces dernières années grâce aux progrès technologiques. En 2023, 60 % des responsables d'entrepôts déclaraient envisager d'augmenter leur budget d'automatisation de </w:t>
      </w:r>
      <w:hyperlink r:id="rId9" w:anchor=":~:text=Currently%2C%20more%20than%2080%25%20of,last%20decade%20(businesswire%2C%202021)" w:history="1">
        <w:r>
          <w:rPr>
            <w:rStyle w:val="Hyperlink"/>
            <w:rFonts w:ascii="Noto Sans" w:hAnsi="Noto Sans" w:cs="Noto Sans"/>
            <w:sz w:val="20"/>
            <w:szCs w:val="20"/>
            <w:lang w:val="fr"/>
          </w:rPr>
          <w:t>20 % en 2024</w:t>
        </w:r>
      </w:hyperlink>
      <w:r>
        <w:rPr>
          <w:rFonts w:ascii="Noto Sans" w:hAnsi="Noto Sans" w:cs="Noto Sans"/>
          <w:sz w:val="20"/>
          <w:szCs w:val="20"/>
          <w:lang w:val="fr"/>
        </w:rPr>
        <w:t xml:space="preserve">, tandis qu'au niveau mondial, le marché de l'automatisation des entrepôts devrait passer de 19,9 milliards de dollars en 2022 à </w:t>
      </w:r>
      <w:hyperlink r:id="rId10" w:anchor=":~:text=Warehouse%20Automation%20Market%20Size&amp;text=Initially%20impacted%20by%20challenges%20such,USD%2054.6%20billion%20by%202030." w:history="1">
        <w:r>
          <w:rPr>
            <w:rStyle w:val="Hyperlink"/>
            <w:rFonts w:ascii="Noto Sans" w:hAnsi="Noto Sans" w:cs="Noto Sans"/>
            <w:sz w:val="20"/>
            <w:szCs w:val="20"/>
            <w:lang w:val="fr"/>
          </w:rPr>
          <w:t>54,6 milliards de dollars d'ici 2030</w:t>
        </w:r>
      </w:hyperlink>
      <w:r>
        <w:rPr>
          <w:rFonts w:ascii="Noto Sans" w:hAnsi="Noto Sans" w:cs="Noto Sans"/>
          <w:sz w:val="20"/>
          <w:szCs w:val="20"/>
          <w:lang w:val="fr"/>
        </w:rPr>
        <w:t xml:space="preserve">. De même, le secteur de la robotique d'entrepôt est en plein essor et enregistre une croissance de 20 à 25 % par an, selon </w:t>
      </w:r>
      <w:hyperlink r:id="rId11" w:history="1">
        <w:r>
          <w:rPr>
            <w:rStyle w:val="Hyperlink"/>
            <w:rFonts w:ascii="Noto Sans" w:hAnsi="Noto Sans" w:cs="Noto Sans"/>
            <w:sz w:val="20"/>
            <w:szCs w:val="20"/>
            <w:lang w:val="fr"/>
          </w:rPr>
          <w:t>Statista</w:t>
        </w:r>
      </w:hyperlink>
      <w:r>
        <w:rPr>
          <w:rFonts w:ascii="Noto Sans" w:hAnsi="Noto Sans" w:cs="Noto Sans"/>
          <w:sz w:val="20"/>
          <w:szCs w:val="20"/>
          <w:lang w:val="fr"/>
        </w:rPr>
        <w:t xml:space="preserve">, tandis que selon McKinsey, </w:t>
      </w:r>
      <w:hyperlink r:id="rId12" w:history="1">
        <w:r>
          <w:rPr>
            <w:rStyle w:val="Hyperlink"/>
            <w:rFonts w:ascii="Noto Sans" w:hAnsi="Noto Sans" w:cs="Noto Sans"/>
            <w:sz w:val="20"/>
            <w:szCs w:val="20"/>
            <w:lang w:val="fr"/>
          </w:rPr>
          <w:t>les expéditions robotisées devraient augmenter de plus de 50 % par an</w:t>
        </w:r>
      </w:hyperlink>
      <w:r>
        <w:rPr>
          <w:rFonts w:ascii="Noto Sans" w:hAnsi="Noto Sans" w:cs="Noto Sans"/>
          <w:sz w:val="20"/>
          <w:szCs w:val="20"/>
          <w:lang w:val="fr"/>
        </w:rPr>
        <w:t xml:space="preserve"> jusqu'en 2030. </w:t>
      </w:r>
    </w:p>
    <w:p w14:paraId="086A2729" w14:textId="28D67315" w:rsidR="004E7371" w:rsidRPr="00FC60D1" w:rsidRDefault="004E7371" w:rsidP="000B39E5">
      <w:pPr>
        <w:autoSpaceDE w:val="0"/>
        <w:autoSpaceDN w:val="0"/>
        <w:adjustRightInd w:val="0"/>
        <w:spacing w:line="276" w:lineRule="auto"/>
        <w:rPr>
          <w:rFonts w:ascii="Noto Sans" w:hAnsi="Noto Sans" w:cs="Noto Sans"/>
          <w:sz w:val="20"/>
          <w:szCs w:val="20"/>
          <w:lang w:val="fr"/>
        </w:rPr>
      </w:pPr>
      <w:r>
        <w:rPr>
          <w:rFonts w:ascii="Noto Sans" w:hAnsi="Noto Sans" w:cs="Noto Sans"/>
          <w:sz w:val="20"/>
          <w:szCs w:val="20"/>
          <w:lang w:val="fr"/>
        </w:rPr>
        <w:t xml:space="preserve">L'automatisation des entrepôts offre des avantages considérables : réduction des erreurs humaines, augmentation de la productivité et de l'efficacité et, surtout, accès aux données en temps réel pour voir ce qui se passe dans l'entrepôt et dans la chaîne logistique en amont et en aval. En effet, ce sont ces données en temps réel qui sous-tendent et relient entre elles les solutions aux défis opérationnels auxquels les dirigeants sont aujourd'hui confrontés. </w:t>
      </w:r>
    </w:p>
    <w:p w14:paraId="41567B6C" w14:textId="62C44CB1" w:rsidR="00790826" w:rsidRPr="00FC60D1" w:rsidRDefault="00BB3C21">
      <w:p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t xml:space="preserve">Le système de gestion d'entrepôt, ou WMS pour « Warehouse Management System », est au cœur de leur automatisation. Pour accroître la productivité, optimiser l'agilité et l'efficacité opérationnelles et répondre aux exigences des consommateurs et de la réglementation, les entreprises doivent veiller à saisir les données correctes dans le WMS, à l'entrée, pendant le séjour des marchandises et à la sortie. </w:t>
      </w:r>
    </w:p>
    <w:p w14:paraId="0B731ED8" w14:textId="71FA3B85" w:rsidR="00C531BB" w:rsidRPr="00FC60D1" w:rsidRDefault="00C531BB" w:rsidP="00B6459B">
      <w:p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t xml:space="preserve">Les codes lisibles par lecteur et les technologies d'identification, notamment les QR codes augmentés GS1, les codes-barres et les étiquettes RFID, contribuent à assurer un flux de </w:t>
      </w:r>
      <w:r>
        <w:rPr>
          <w:rFonts w:ascii="Noto Sans" w:hAnsi="Noto Sans" w:cs="Noto Sans"/>
          <w:sz w:val="20"/>
          <w:szCs w:val="20"/>
          <w:lang w:val="fr"/>
        </w:rPr>
        <w:lastRenderedPageBreak/>
        <w:t>données transparent de la ligne de production à l'entrepôt. Parallèlement, des systèmes de vision peuvent être utilisés non seulement pour vérifier l'exactitude de ces codes, mais aussi pour garantir un transfert de données fiable et un tri efficace des produits. Dans les entrepôts, les lecteurs de codes-barres et de RFID automatisés facilitent le transfert des données, en accélérant la gestion des stocks et en permettant la traçabilité des produits qui circulent dans le système. Les responsables d'entrepôts peuvent également choisir d'utiliser des robots, des cobots et des systèmes d'impression-pose d'étiquettes sécurisés pour aider les travailleurs humains à effectuer des tâches de routine telles que l'emballage, la préparation des commandes, le tri et l'étiquetage des palettes, ce qui permet de rationaliser davantage les processus et de réduire les risques de blessures. Tout cela peut être complété par des technologies intelligentes nombreuses et variées, telles que des systèmes de codage et de marquage adaptatifs, des dimensionneurs de palettes et de colis, et des systèmes de vision à hauteur variable équipés de lentilles « liquides » pour gérer des emballages de tailles diverses et garantir des mesures précises pour une expédition efficace.</w:t>
      </w:r>
    </w:p>
    <w:p w14:paraId="7894A137" w14:textId="7B60DDE6" w:rsidR="00C531BB" w:rsidRPr="00FC60D1" w:rsidRDefault="00C531BB" w:rsidP="00C531BB">
      <w:p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t>Lorsqu'ils sont correctement intégrés, les technologies et systèmes intelligents utilisés sur la ligne de production et les solutions d'entreposage automatisées se complètent et favorisent le flux des données dans l'entrepôt et dans la chaîne logistique au sens large. Un maillon essentiel pour une traçabilité complète de la chaîne logistique.</w:t>
      </w:r>
    </w:p>
    <w:p w14:paraId="361FE433" w14:textId="384B2B88" w:rsidR="00BC5937" w:rsidRPr="00FC60D1" w:rsidRDefault="00C531BB" w:rsidP="00BC5937">
      <w:p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t>L'objectif ultime d'un responsable d'entrepôt peut être la création d'un entrepôt entièrement automatisé, intelligent et dynamique où des données rationalisées entrent et sortent et qui intègre l'utilisation de l'intelligence artificielle (IA) et/ou de l'apprentissage automatique pour analyser les modèles de données, prédire les problèmes potentiels et rationaliser les opérations.</w:t>
      </w:r>
    </w:p>
    <w:p w14:paraId="5BFDF5FF" w14:textId="2D498211" w:rsidR="00147BDA" w:rsidRPr="00FC60D1" w:rsidRDefault="00E41C59" w:rsidP="000B39E5">
      <w:p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t xml:space="preserve">Mais comment y parvenir ? Selon EY, entre </w:t>
      </w:r>
      <w:hyperlink r:id="rId13" w:history="1">
        <w:r>
          <w:rPr>
            <w:rStyle w:val="Hyperlink"/>
            <w:rFonts w:ascii="Noto Sans" w:hAnsi="Noto Sans" w:cs="Noto Sans"/>
            <w:sz w:val="20"/>
            <w:szCs w:val="20"/>
            <w:lang w:val="fr"/>
          </w:rPr>
          <w:t>30 et 50 % des projets d'automatisation des processus robotiques échouent au niveau mondial</w:t>
        </w:r>
      </w:hyperlink>
      <w:r>
        <w:rPr>
          <w:rFonts w:ascii="Noto Sans" w:hAnsi="Noto Sans" w:cs="Noto Sans"/>
          <w:sz w:val="20"/>
          <w:szCs w:val="20"/>
          <w:lang w:val="fr"/>
        </w:rPr>
        <w:t xml:space="preserve">, et Gartner prédit qu'au moins </w:t>
      </w:r>
      <w:hyperlink r:id="rId14" w:history="1">
        <w:r>
          <w:rPr>
            <w:rStyle w:val="Hyperlink"/>
            <w:rFonts w:ascii="Noto Sans" w:hAnsi="Noto Sans" w:cs="Noto Sans"/>
            <w:sz w:val="20"/>
            <w:szCs w:val="20"/>
            <w:lang w:val="fr"/>
          </w:rPr>
          <w:t>30 % des projets d'IA générative pourraient être abandonnés</w:t>
        </w:r>
      </w:hyperlink>
      <w:r>
        <w:rPr>
          <w:rFonts w:ascii="Noto Sans" w:hAnsi="Noto Sans" w:cs="Noto Sans"/>
          <w:sz w:val="20"/>
          <w:szCs w:val="20"/>
          <w:lang w:val="fr"/>
        </w:rPr>
        <w:t xml:space="preserve"> après les études de faisabilité d'ici la fin 2025. Il est donc primordial de prendre des mesures pour identifier les obstacles et les pièges à éviter à un stade précoce.</w:t>
      </w:r>
    </w:p>
    <w:p w14:paraId="7E1BE130" w14:textId="06484351" w:rsidR="00E41C59" w:rsidRPr="00FC60D1" w:rsidRDefault="00E41C59" w:rsidP="000B39E5">
      <w:pPr>
        <w:autoSpaceDE w:val="0"/>
        <w:autoSpaceDN w:val="0"/>
        <w:adjustRightInd w:val="0"/>
        <w:spacing w:line="276" w:lineRule="auto"/>
        <w:rPr>
          <w:rFonts w:ascii="Noto Sans" w:hAnsi="Noto Sans" w:cs="Noto Sans"/>
          <w:b/>
          <w:bCs/>
          <w:sz w:val="20"/>
          <w:szCs w:val="20"/>
          <w:lang w:val="es-ES"/>
        </w:rPr>
      </w:pPr>
      <w:r>
        <w:rPr>
          <w:rFonts w:ascii="Noto Sans" w:hAnsi="Noto Sans" w:cs="Noto Sans"/>
          <w:b/>
          <w:bCs/>
          <w:sz w:val="20"/>
          <w:szCs w:val="20"/>
          <w:lang w:val="fr"/>
        </w:rPr>
        <w:t>Pour que l'automatisation fonctionne</w:t>
      </w:r>
    </w:p>
    <w:p w14:paraId="076AE49B" w14:textId="2DE583CF" w:rsidR="0068653B" w:rsidRPr="00FC60D1" w:rsidRDefault="0068653B" w:rsidP="000B39E5">
      <w:pPr>
        <w:autoSpaceDE w:val="0"/>
        <w:autoSpaceDN w:val="0"/>
        <w:adjustRightInd w:val="0"/>
        <w:spacing w:line="276" w:lineRule="auto"/>
        <w:rPr>
          <w:rFonts w:ascii="Noto Sans" w:hAnsi="Noto Sans" w:cs="Noto Sans"/>
          <w:sz w:val="20"/>
          <w:szCs w:val="20"/>
          <w:lang w:val="fr"/>
        </w:rPr>
      </w:pPr>
      <w:r>
        <w:rPr>
          <w:rFonts w:ascii="Noto Sans" w:hAnsi="Noto Sans" w:cs="Noto Sans"/>
          <w:sz w:val="20"/>
          <w:szCs w:val="20"/>
          <w:lang w:val="fr"/>
        </w:rPr>
        <w:t xml:space="preserve">Les trois obstacles à l'automatisation des entrepôts les plus souvent cités sont une mauvaise planification, le manque d'intégration et le manque de préparation de la main-d'œuvre. Les entreprises doivent planifier et agir avec prudence, car une valeur floue pour l'entreprise et des systèmes mal alignés ou incompatibles conduiront inévitablement à une confusion sur le lieu de travail, à un cloisonnement des données, à un manque de communication et à l'impossibilité de faire circuler l’information de manière transparente. Et, bien sûr, les entreprises ne doivent pas sous-estimer l'importance de la préparation du personnel. Le passage à l'automatisation exigera une maîtrise du numérique et une bonne connaissance des informations et des </w:t>
      </w:r>
      <w:r>
        <w:rPr>
          <w:rFonts w:ascii="Noto Sans" w:hAnsi="Noto Sans" w:cs="Noto Sans"/>
          <w:sz w:val="20"/>
          <w:szCs w:val="20"/>
          <w:lang w:val="fr"/>
        </w:rPr>
        <w:lastRenderedPageBreak/>
        <w:t xml:space="preserve">processus pour lesquels les employés des lignes de production ayant reçu une formation traditionnelle pourraient nécessiter une mise à niveau avant de s'embarquer dans un projet d'une telle envergure. </w:t>
      </w:r>
    </w:p>
    <w:p w14:paraId="6E561538" w14:textId="229C7A3B" w:rsidR="000C4189" w:rsidRPr="00FC60D1" w:rsidRDefault="006A003E" w:rsidP="000B39E5">
      <w:p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t xml:space="preserve">Voici les mesures fondamentales à mettre en œuvre : </w:t>
      </w:r>
    </w:p>
    <w:p w14:paraId="023B9CB9" w14:textId="1411C691" w:rsidR="006A003E" w:rsidRDefault="006A003E" w:rsidP="006A003E">
      <w:pPr>
        <w:pStyle w:val="ListParagraph"/>
        <w:numPr>
          <w:ilvl w:val="0"/>
          <w:numId w:val="10"/>
        </w:numPr>
        <w:autoSpaceDE w:val="0"/>
        <w:autoSpaceDN w:val="0"/>
        <w:adjustRightInd w:val="0"/>
        <w:spacing w:line="276" w:lineRule="auto"/>
        <w:rPr>
          <w:rFonts w:ascii="Noto Sans" w:hAnsi="Noto Sans" w:cs="Noto Sans"/>
          <w:sz w:val="20"/>
          <w:szCs w:val="20"/>
        </w:rPr>
      </w:pPr>
      <w:r>
        <w:rPr>
          <w:rFonts w:ascii="Noto Sans" w:hAnsi="Noto Sans" w:cs="Noto Sans"/>
          <w:sz w:val="20"/>
          <w:szCs w:val="20"/>
          <w:lang w:val="fr"/>
        </w:rPr>
        <w:t>Procédez avec prudence dans la planification et l'exécution. Comprenez la situation de votre entreprise et les principaux indicateurs de réussite. Commencez en douceur : visez des objectifs faciles à atteindre qui vous apporteront un succès rapide et inspireront de la confiance. Surveillez et adaptez.</w:t>
      </w:r>
    </w:p>
    <w:p w14:paraId="3B66EA18" w14:textId="29C62C29" w:rsidR="006A003E" w:rsidRDefault="006A003E" w:rsidP="006A003E">
      <w:pPr>
        <w:pStyle w:val="ListParagraph"/>
        <w:numPr>
          <w:ilvl w:val="0"/>
          <w:numId w:val="10"/>
        </w:numPr>
        <w:autoSpaceDE w:val="0"/>
        <w:autoSpaceDN w:val="0"/>
        <w:adjustRightInd w:val="0"/>
        <w:spacing w:line="276" w:lineRule="auto"/>
        <w:rPr>
          <w:rFonts w:ascii="Noto Sans" w:hAnsi="Noto Sans" w:cs="Noto Sans"/>
          <w:sz w:val="20"/>
          <w:szCs w:val="20"/>
        </w:rPr>
      </w:pPr>
      <w:r>
        <w:rPr>
          <w:rFonts w:ascii="Noto Sans" w:hAnsi="Noto Sans" w:cs="Noto Sans"/>
          <w:sz w:val="20"/>
          <w:szCs w:val="20"/>
          <w:lang w:val="fr"/>
        </w:rPr>
        <w:t>Collaborez pour réussir. Identifiez les fournisseurs qui sont prêts à travailler ensemble pour s'assurer que leurs solutions s'intègrent à vos systèmes existants, en particulier votre WMS.</w:t>
      </w:r>
    </w:p>
    <w:p w14:paraId="316E5200" w14:textId="16170FA9" w:rsidR="006A003E" w:rsidRPr="00FC60D1" w:rsidRDefault="006A003E" w:rsidP="006A003E">
      <w:pPr>
        <w:pStyle w:val="ListParagraph"/>
        <w:numPr>
          <w:ilvl w:val="0"/>
          <w:numId w:val="10"/>
        </w:num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t>Alignez-vous avec vos partenaires de la chaîne logistique en amont et avec vos partenaires de production pour garantir la qualité optimale des codes-barres lisibles, des codes 2D et des données entrant dans l'entrepôt.</w:t>
      </w:r>
    </w:p>
    <w:p w14:paraId="46F2AE50" w14:textId="3B9D3329" w:rsidR="006A003E" w:rsidRPr="00FC60D1" w:rsidRDefault="006A003E" w:rsidP="006A003E">
      <w:pPr>
        <w:pStyle w:val="ListParagraph"/>
        <w:numPr>
          <w:ilvl w:val="0"/>
          <w:numId w:val="10"/>
        </w:numPr>
        <w:autoSpaceDE w:val="0"/>
        <w:autoSpaceDN w:val="0"/>
        <w:adjustRightInd w:val="0"/>
        <w:spacing w:line="276" w:lineRule="auto"/>
        <w:rPr>
          <w:rFonts w:ascii="Noto Sans" w:hAnsi="Noto Sans" w:cs="Noto Sans"/>
          <w:sz w:val="20"/>
          <w:szCs w:val="20"/>
          <w:lang w:val="es-ES"/>
        </w:rPr>
      </w:pPr>
      <w:r>
        <w:rPr>
          <w:rFonts w:ascii="Noto Sans" w:hAnsi="Noto Sans" w:cs="Noto Sans"/>
          <w:sz w:val="20"/>
          <w:szCs w:val="20"/>
          <w:lang w:val="fr"/>
        </w:rPr>
        <w:t>Alignez-vous avec vos partenaires de la chaîne logistique en aval pour garantir une transparence totale tout au long de la chaîne, en particulier dans un environnement de vente au détail/consommation.</w:t>
      </w:r>
    </w:p>
    <w:p w14:paraId="40DBA7BF" w14:textId="2CDD0EB6" w:rsidR="003463E1" w:rsidRDefault="00B56381" w:rsidP="003463E1">
      <w:pPr>
        <w:pStyle w:val="ListParagraph"/>
        <w:numPr>
          <w:ilvl w:val="0"/>
          <w:numId w:val="10"/>
        </w:numPr>
        <w:autoSpaceDE w:val="0"/>
        <w:autoSpaceDN w:val="0"/>
        <w:adjustRightInd w:val="0"/>
        <w:spacing w:line="276" w:lineRule="auto"/>
        <w:rPr>
          <w:rFonts w:ascii="Noto Sans" w:hAnsi="Noto Sans" w:cs="Noto Sans"/>
          <w:sz w:val="20"/>
          <w:szCs w:val="20"/>
        </w:rPr>
      </w:pPr>
      <w:r>
        <w:rPr>
          <w:rFonts w:ascii="Noto Sans" w:hAnsi="Noto Sans" w:cs="Noto Sans"/>
          <w:sz w:val="20"/>
          <w:szCs w:val="20"/>
          <w:lang w:val="fr"/>
        </w:rPr>
        <w:t>Accompagnez vos équipes. Identifiez les lacunes potentielles en matière de compétences et de culture numérique et investissez dans la formation dès le départ. Impliquez votre personnel dans les applications potentielles de l'automatisation permettant d'obtenir des avantages rapidement.</w:t>
      </w:r>
    </w:p>
    <w:p w14:paraId="7717FE9C" w14:textId="77777777" w:rsidR="003463E1" w:rsidRPr="003463E1" w:rsidRDefault="003463E1" w:rsidP="003463E1">
      <w:pPr>
        <w:pStyle w:val="ListParagraph"/>
        <w:autoSpaceDE w:val="0"/>
        <w:autoSpaceDN w:val="0"/>
        <w:adjustRightInd w:val="0"/>
        <w:spacing w:line="276" w:lineRule="auto"/>
        <w:rPr>
          <w:rFonts w:ascii="Noto Sans" w:hAnsi="Noto Sans" w:cs="Noto Sans"/>
          <w:sz w:val="20"/>
          <w:szCs w:val="20"/>
        </w:rPr>
      </w:pPr>
    </w:p>
    <w:p w14:paraId="4A80FB31" w14:textId="1DF526A1" w:rsidR="00AF0D6A" w:rsidRDefault="00AF0D6A" w:rsidP="000B39E5">
      <w:pPr>
        <w:autoSpaceDE w:val="0"/>
        <w:autoSpaceDN w:val="0"/>
        <w:adjustRightInd w:val="0"/>
        <w:spacing w:line="276" w:lineRule="auto"/>
        <w:rPr>
          <w:rFonts w:ascii="Noto Sans" w:hAnsi="Noto Sans" w:cs="Noto Sans"/>
          <w:b/>
          <w:bCs/>
          <w:sz w:val="20"/>
          <w:szCs w:val="20"/>
        </w:rPr>
      </w:pPr>
      <w:r>
        <w:rPr>
          <w:rFonts w:ascii="Noto Sans" w:hAnsi="Noto Sans" w:cs="Noto Sans"/>
          <w:b/>
          <w:bCs/>
          <w:sz w:val="20"/>
          <w:szCs w:val="20"/>
          <w:lang w:val="fr"/>
        </w:rPr>
        <w:t>Conclusion</w:t>
      </w:r>
    </w:p>
    <w:p w14:paraId="4BCF0E01" w14:textId="7A2A26DA" w:rsidR="00AF0D6A" w:rsidRPr="00FC60D1" w:rsidRDefault="003463E1" w:rsidP="000B39E5">
      <w:pPr>
        <w:autoSpaceDE w:val="0"/>
        <w:autoSpaceDN w:val="0"/>
        <w:adjustRightInd w:val="0"/>
        <w:spacing w:line="276" w:lineRule="auto"/>
        <w:rPr>
          <w:rFonts w:ascii="Noto Sans" w:hAnsi="Noto Sans" w:cs="Noto Sans"/>
          <w:sz w:val="20"/>
          <w:szCs w:val="20"/>
          <w:lang w:val="fr"/>
        </w:rPr>
      </w:pPr>
      <w:r>
        <w:rPr>
          <w:rFonts w:ascii="Noto Sans" w:hAnsi="Noto Sans" w:cs="Noto Sans"/>
          <w:sz w:val="20"/>
          <w:szCs w:val="20"/>
          <w:lang w:val="fr"/>
        </w:rPr>
        <w:t xml:space="preserve">L'entrepôt est sans doute le pivot des chaînes logistiques modernes, le point unique où se rencontrent les points de distribution en amont et en aval. Pour réussir à gérer l'évolution du marché et prospérer, les entreprises doivent garantir l'efficacité, la productivité et la visibilité opérationnelle de leurs entrepôts. </w:t>
      </w:r>
    </w:p>
    <w:p w14:paraId="7A45A95D" w14:textId="58FE5897" w:rsidR="003463E1" w:rsidRPr="00FC60D1" w:rsidRDefault="003463E1" w:rsidP="000B39E5">
      <w:pPr>
        <w:autoSpaceDE w:val="0"/>
        <w:autoSpaceDN w:val="0"/>
        <w:adjustRightInd w:val="0"/>
        <w:spacing w:line="276" w:lineRule="auto"/>
        <w:rPr>
          <w:rFonts w:ascii="Noto Sans" w:hAnsi="Noto Sans" w:cs="Noto Sans"/>
          <w:sz w:val="20"/>
          <w:szCs w:val="20"/>
          <w:lang w:val="fr"/>
        </w:rPr>
      </w:pPr>
      <w:r>
        <w:rPr>
          <w:rFonts w:ascii="Noto Sans" w:hAnsi="Noto Sans" w:cs="Noto Sans"/>
          <w:sz w:val="20"/>
          <w:szCs w:val="20"/>
          <w:lang w:val="fr"/>
        </w:rPr>
        <w:t>Mais le défi est complexe. Si vous travaillez avec un partenaire de confiance qui possède l'expérience et l'expertise nécessaires pour fournir des solutions de ligne de production et d'entreposage conçues dans une optique d'intégration et de transfert de données, vous serez sûr d'être bien positionné et d'aller dans le bon sens.</w:t>
      </w:r>
    </w:p>
    <w:p w14:paraId="2302F189" w14:textId="5E08A8D7" w:rsidR="005524DB" w:rsidRDefault="00FC60D1" w:rsidP="00820356">
      <w:pPr>
        <w:autoSpaceDE w:val="0"/>
        <w:autoSpaceDN w:val="0"/>
        <w:adjustRightInd w:val="0"/>
        <w:spacing w:line="276" w:lineRule="auto"/>
        <w:rPr>
          <w:rFonts w:ascii="Noto Sans" w:hAnsi="Noto Sans" w:cs="Noto Sans"/>
          <w:sz w:val="20"/>
          <w:szCs w:val="20"/>
          <w:lang w:val="fr"/>
        </w:rPr>
      </w:pPr>
      <w:r>
        <w:rPr>
          <w:rFonts w:ascii="Noto Sans" w:hAnsi="Noto Sans" w:cs="Noto Sans"/>
          <w:sz w:val="20"/>
          <w:szCs w:val="20"/>
          <w:lang w:val="fr"/>
        </w:rPr>
        <w:t>&lt;</w:t>
      </w:r>
      <w:r w:rsidR="00820356" w:rsidRPr="00FC60D1">
        <w:rPr>
          <w:rFonts w:ascii="Noto Sans" w:hAnsi="Noto Sans" w:cs="Noto Sans"/>
          <w:b/>
          <w:bCs/>
          <w:sz w:val="20"/>
          <w:szCs w:val="20"/>
          <w:lang w:val="fr"/>
        </w:rPr>
        <w:t>FIN</w:t>
      </w:r>
      <w:r>
        <w:rPr>
          <w:rFonts w:ascii="Noto Sans" w:hAnsi="Noto Sans" w:cs="Noto Sans"/>
          <w:sz w:val="20"/>
          <w:szCs w:val="20"/>
          <w:lang w:val="fr"/>
        </w:rPr>
        <w:t>&gt;</w:t>
      </w:r>
    </w:p>
    <w:p w14:paraId="3B7CEF80" w14:textId="52F05D86" w:rsidR="00FC60D1" w:rsidRPr="00AF5F16" w:rsidRDefault="00AF5F16" w:rsidP="00820356">
      <w:pPr>
        <w:autoSpaceDE w:val="0"/>
        <w:autoSpaceDN w:val="0"/>
        <w:adjustRightInd w:val="0"/>
        <w:spacing w:line="276" w:lineRule="auto"/>
        <w:rPr>
          <w:rFonts w:ascii="Noto Sans" w:hAnsi="Noto Sans" w:cs="Noto Sans"/>
          <w:sz w:val="20"/>
          <w:szCs w:val="20"/>
          <w:lang w:val="fr-FR"/>
        </w:rPr>
      </w:pPr>
      <w:bookmarkStart w:id="0" w:name="_Hlk46133219"/>
      <w:r w:rsidRPr="00E06028">
        <w:rPr>
          <w:rFonts w:ascii="Noto Sans" w:eastAsia="Gill Sans" w:hAnsi="Noto Sans" w:cs="Noto Sans"/>
          <w:b/>
          <w:bCs/>
          <w:sz w:val="20"/>
          <w:szCs w:val="20"/>
          <w:lang w:val="fr-FR"/>
        </w:rPr>
        <w:t>Avis de non-responsabilité</w:t>
      </w:r>
      <w:r w:rsidRPr="00E06028">
        <w:rPr>
          <w:rFonts w:ascii="Noto Sans" w:eastAsia="Gill Sans" w:hAnsi="Noto Sans" w:cs="Noto Sans"/>
          <w:b/>
          <w:sz w:val="20"/>
          <w:szCs w:val="20"/>
          <w:lang w:val="es-ES"/>
        </w:rPr>
        <w:br/>
      </w:r>
      <w:r w:rsidRPr="00E06028">
        <w:rPr>
          <w:rFonts w:ascii="Noto Sans" w:eastAsia="Gill Sans" w:hAnsi="Noto Sans" w:cs="Noto Sans"/>
          <w:sz w:val="20"/>
          <w:szCs w:val="20"/>
          <w:lang w:val="es-ES"/>
        </w:rPr>
        <w:br/>
      </w:r>
      <w:r w:rsidRPr="00E06028">
        <w:rPr>
          <w:rFonts w:ascii="Noto Sans" w:hAnsi="Noto Sans" w:cs="Noto Sans"/>
          <w:b/>
          <w:bCs/>
          <w:sz w:val="20"/>
          <w:szCs w:val="20"/>
          <w:lang w:val="fr-FR"/>
        </w:rPr>
        <w:t>Encres</w:t>
      </w:r>
      <w:r w:rsidRPr="00E06028">
        <w:rPr>
          <w:rFonts w:ascii="Noto Sans" w:hAnsi="Noto Sans" w:cs="Noto Sans"/>
          <w:sz w:val="20"/>
          <w:szCs w:val="20"/>
          <w:lang w:val="es-ES"/>
        </w:rPr>
        <w:br/>
      </w:r>
      <w:r w:rsidRPr="00E06028">
        <w:rPr>
          <w:rFonts w:ascii="Noto Sans" w:hAnsi="Noto Sans" w:cs="Noto Sans"/>
          <w:sz w:val="20"/>
          <w:szCs w:val="20"/>
          <w:lang w:val="fr-FR"/>
        </w:rPr>
        <w:t xml:space="preserve">Les informations figurant aux présentes ne se substituent pas à la réalisation des essais </w:t>
      </w:r>
      <w:r w:rsidRPr="00E06028">
        <w:rPr>
          <w:rFonts w:ascii="Noto Sans" w:hAnsi="Noto Sans" w:cs="Noto Sans"/>
          <w:sz w:val="20"/>
          <w:szCs w:val="20"/>
          <w:lang w:val="fr-FR"/>
        </w:rPr>
        <w:lastRenderedPageBreak/>
        <w:t xml:space="preserve">nécessaires pour vérifier la bonne adéquation à votre utilisation et à vos circonstances particulières. Ni Domino UK Limited ni aucune autre société du groupe Domino ne sauraient être responsables dans le cas où vous vous êtes fiés aux informations du présent document quant à la convenance d’une encre à vos besoins particuliers. Le présent document ne fait pas partie des conditions générales entre vous-même et Domino. Les mentions légales v.1.0 de février 2018 et les conditions générales de vente de Domino, et plus particulièrement les garanties et responsabilités qui en relèvent, s’appliquent à tout achat de produit que vous réalisez. </w:t>
      </w:r>
      <w:r w:rsidRPr="00E06028">
        <w:rPr>
          <w:rFonts w:ascii="Noto Sans" w:hAnsi="Noto Sans" w:cs="Noto Sans"/>
          <w:sz w:val="20"/>
          <w:szCs w:val="20"/>
          <w:lang w:val="es-ES"/>
        </w:rPr>
        <w:br/>
      </w:r>
      <w:r w:rsidRPr="00E06028">
        <w:rPr>
          <w:rFonts w:ascii="Noto Sans" w:hAnsi="Noto Sans" w:cs="Noto Sans"/>
          <w:sz w:val="20"/>
          <w:szCs w:val="20"/>
          <w:lang w:val="es-ES"/>
        </w:rPr>
        <w:br/>
      </w:r>
      <w:r w:rsidRPr="00E06028">
        <w:rPr>
          <w:rFonts w:ascii="Noto Sans" w:hAnsi="Noto Sans" w:cs="Noto Sans"/>
          <w:b/>
          <w:bCs/>
          <w:sz w:val="20"/>
          <w:szCs w:val="20"/>
          <w:lang w:val="fr-FR"/>
        </w:rPr>
        <w:t>Généralités</w:t>
      </w:r>
      <w:r w:rsidRPr="00E06028">
        <w:rPr>
          <w:rFonts w:ascii="Noto Sans" w:hAnsi="Noto Sans" w:cs="Noto Sans"/>
          <w:sz w:val="20"/>
          <w:szCs w:val="20"/>
          <w:lang w:val="es-ES"/>
        </w:rPr>
        <w:br/>
      </w:r>
      <w:r w:rsidRPr="001D71EE">
        <w:rPr>
          <w:rFonts w:ascii="Noto Sans" w:hAnsi="Noto Sans" w:cs="Noto Sans"/>
          <w:sz w:val="20"/>
          <w:szCs w:val="20"/>
          <w:lang w:val="fr-FR"/>
        </w:rPr>
        <w:t xml:space="preserve">Les informations contenues dans ce communiqué de presse sont considérées comme vraies et exactes à la date de publication par Domino. Des changements de circonstances après la date de publication peuvent avoir un impact sur l'exactitude des informations. </w:t>
      </w:r>
      <w:r w:rsidRPr="00E06028">
        <w:rPr>
          <w:rFonts w:ascii="Noto Sans" w:hAnsi="Noto Sans" w:cs="Noto Sans"/>
          <w:sz w:val="20"/>
          <w:szCs w:val="20"/>
          <w:lang w:val="fr-FR"/>
        </w:rPr>
        <w:t>Tous les chiffres et déclarations en matière de résultats indiqués dans les présentes ont été obtenus dans des conditions particulières et ne peuvent être reproduits que dans des circonstances similaires. Pour toutes informations sur un produit particulier, contactez votre Représentant Domino local.  Ce document n’est pas intégré aux conditions générales de vente entre vous-même et Domino.</w:t>
      </w:r>
      <w:r w:rsidRPr="00E06028">
        <w:rPr>
          <w:rFonts w:ascii="Noto Sans" w:hAnsi="Noto Sans" w:cs="Noto Sans"/>
          <w:sz w:val="20"/>
          <w:szCs w:val="20"/>
          <w:lang w:val="fr-FR"/>
        </w:rPr>
        <w:br/>
      </w:r>
      <w:r w:rsidRPr="00E06028">
        <w:rPr>
          <w:rFonts w:ascii="Noto Sans" w:hAnsi="Noto Sans" w:cs="Noto Sans"/>
          <w:sz w:val="20"/>
          <w:szCs w:val="20"/>
          <w:lang w:val="fr-FR"/>
        </w:rPr>
        <w:br/>
      </w:r>
      <w:r w:rsidRPr="00E06028">
        <w:rPr>
          <w:rFonts w:ascii="Noto Sans" w:hAnsi="Noto Sans" w:cs="Noto Sans"/>
          <w:b/>
          <w:bCs/>
          <w:sz w:val="20"/>
          <w:szCs w:val="20"/>
          <w:lang w:val="fr-FR"/>
        </w:rPr>
        <w:t>Images</w:t>
      </w:r>
      <w:r w:rsidRPr="00E06028">
        <w:rPr>
          <w:rFonts w:ascii="Noto Sans" w:hAnsi="Noto Sans" w:cs="Noto Sans"/>
          <w:sz w:val="20"/>
          <w:szCs w:val="20"/>
        </w:rPr>
        <w:br/>
      </w:r>
      <w:r w:rsidRPr="00E06028">
        <w:rPr>
          <w:rFonts w:ascii="Noto Sans" w:hAnsi="Noto Sans" w:cs="Noto Sans"/>
          <w:sz w:val="20"/>
          <w:szCs w:val="20"/>
          <w:lang w:val="fr-FR"/>
        </w:rPr>
        <w:t xml:space="preserve">Les images peuvent inclure des éléments supplémentaires ou des mises à niveaux. La qualité d'impression peut varier en fonction des consommables, de l'imprimante, des substrats et d'autres facteurs. Les images et photographies ne font pas partie des conditions générales de vente entre vous-même et Domino. </w:t>
      </w:r>
      <w:r w:rsidRPr="00E06028">
        <w:rPr>
          <w:rFonts w:ascii="Noto Sans" w:hAnsi="Noto Sans" w:cs="Noto Sans"/>
          <w:sz w:val="20"/>
          <w:szCs w:val="20"/>
          <w:lang w:val="fr-FR"/>
        </w:rPr>
        <w:br/>
      </w:r>
      <w:r w:rsidRPr="00E06028">
        <w:rPr>
          <w:rFonts w:ascii="Noto Sans" w:hAnsi="Noto Sans" w:cs="Noto Sans"/>
          <w:sz w:val="20"/>
          <w:szCs w:val="20"/>
          <w:lang w:val="fr-FR"/>
        </w:rPr>
        <w:br/>
      </w:r>
      <w:r w:rsidRPr="00E06028">
        <w:rPr>
          <w:rFonts w:ascii="Noto Sans" w:hAnsi="Noto Sans" w:cs="Noto Sans"/>
          <w:b/>
          <w:bCs/>
          <w:sz w:val="20"/>
          <w:szCs w:val="20"/>
          <w:lang w:val="fr-FR"/>
        </w:rPr>
        <w:t>Vidéos</w:t>
      </w:r>
      <w:r w:rsidRPr="00E06028">
        <w:rPr>
          <w:rFonts w:ascii="Noto Sans" w:hAnsi="Noto Sans" w:cs="Noto Sans"/>
          <w:sz w:val="20"/>
          <w:szCs w:val="20"/>
        </w:rPr>
        <w:br/>
      </w:r>
      <w:r w:rsidRPr="00E06028">
        <w:rPr>
          <w:rFonts w:ascii="Noto Sans" w:hAnsi="Noto Sans" w:cs="Noto Sans"/>
          <w:sz w:val="20"/>
          <w:szCs w:val="20"/>
          <w:lang w:val="fr-FR"/>
        </w:rPr>
        <w:t>Cette vidéo est fournie à des fins illustratives uniquement et peut inclure des options supplémentaires. Les chiffres relatifs à la performance peuvent être obtenus sous des conditions spécifiques ; les performances individuelles peuvent varier. Des erreurs et des temps d’arrêt peuvent survenir sur les chaînes de production. Rien dans la présente vidéo ne saurait faire partie d'un contrat entre vous et Domino.</w:t>
      </w:r>
      <w:r w:rsidRPr="00E06028">
        <w:rPr>
          <w:rFonts w:ascii="Noto Sans" w:hAnsi="Noto Sans" w:cs="Noto Sans"/>
          <w:sz w:val="20"/>
          <w:szCs w:val="20"/>
          <w:lang w:val="es-ES"/>
        </w:rPr>
        <w:br/>
      </w:r>
      <w:r w:rsidRPr="00E06028">
        <w:rPr>
          <w:rFonts w:ascii="Noto Sans" w:eastAsia="Gill Sans" w:hAnsi="Noto Sans" w:cs="Noto Sans"/>
          <w:sz w:val="20"/>
          <w:szCs w:val="20"/>
          <w:lang w:val="es-ES"/>
        </w:rPr>
        <w:br/>
      </w:r>
      <w:bookmarkStart w:id="1" w:name="_Hlk61949672"/>
      <w:r w:rsidRPr="00E06028">
        <w:rPr>
          <w:rFonts w:ascii="Noto Sans" w:eastAsia="Gill Sans" w:hAnsi="Noto Sans" w:cs="Noto Sans"/>
          <w:b/>
          <w:sz w:val="20"/>
          <w:szCs w:val="20"/>
          <w:lang w:val="es-ES"/>
        </w:rPr>
        <w:br/>
      </w:r>
      <w:r w:rsidRPr="00E06028">
        <w:rPr>
          <w:rFonts w:ascii="Noto Sans" w:eastAsia="Gill Sans" w:hAnsi="Noto Sans" w:cs="Noto Sans"/>
          <w:b/>
          <w:bCs/>
          <w:sz w:val="20"/>
          <w:szCs w:val="20"/>
          <w:lang w:val="fr-FR"/>
        </w:rPr>
        <w:t>Notes à l'attention des rédacteurs :</w:t>
      </w:r>
      <w:r w:rsidRPr="00E06028">
        <w:rPr>
          <w:rFonts w:ascii="Noto Sans" w:eastAsia="Gill Sans" w:hAnsi="Noto Sans" w:cs="Noto Sans"/>
          <w:b/>
          <w:sz w:val="20"/>
          <w:szCs w:val="20"/>
          <w:lang w:val="es-ES"/>
        </w:rPr>
        <w:br/>
      </w:r>
      <w:r w:rsidRPr="00E06028">
        <w:rPr>
          <w:rFonts w:ascii="Noto Sans" w:eastAsia="Gill Sans" w:hAnsi="Noto Sans" w:cs="Noto Sans"/>
          <w:sz w:val="20"/>
          <w:szCs w:val="20"/>
          <w:lang w:val="es-ES"/>
        </w:rPr>
        <w:br/>
      </w:r>
      <w:r w:rsidRPr="00E06028">
        <w:rPr>
          <w:rFonts w:ascii="Noto Sans" w:eastAsia="Gill Sans" w:hAnsi="Noto Sans" w:cs="Noto Sans"/>
          <w:b/>
          <w:bCs/>
          <w:sz w:val="20"/>
          <w:szCs w:val="20"/>
          <w:lang w:val="fr-FR"/>
        </w:rPr>
        <w:t>À propos de Domino</w:t>
      </w:r>
      <w:r w:rsidRPr="00E06028">
        <w:rPr>
          <w:rFonts w:ascii="Noto Sans" w:eastAsia="Gill Sans" w:hAnsi="Noto Sans" w:cs="Noto Sans"/>
          <w:b/>
          <w:sz w:val="20"/>
          <w:szCs w:val="20"/>
          <w:lang w:val="es-ES"/>
        </w:rPr>
        <w:br/>
      </w:r>
      <w:r w:rsidRPr="00E06028">
        <w:rPr>
          <w:rFonts w:ascii="Noto Sans" w:eastAsia="Gill Sans" w:hAnsi="Noto Sans" w:cs="Noto Sans"/>
          <w:sz w:val="20"/>
          <w:szCs w:val="20"/>
          <w:lang w:val="es-ES"/>
        </w:rPr>
        <w:br/>
      </w:r>
      <w:r w:rsidRPr="00E06028">
        <w:rPr>
          <w:rFonts w:ascii="Noto Sans" w:eastAsia="Gill Sans" w:hAnsi="Noto Sans" w:cs="Noto Sans"/>
          <w:sz w:val="20"/>
          <w:szCs w:val="20"/>
          <w:lang w:val="fr-FR"/>
        </w:rPr>
        <w:t xml:space="preserve">Fondée en 1978, Domino Printing Sciences (Domino) a acquis une réputation mondiale pour le développement et la fabrication de technologies de codage, de marquage et d'impression numérique, ainsi que pour la qualité de son service après-vente à l'international. Aujourd'hui, Domino propose l'un des portefeuilles les plus complets de solutions intégrales de codage afin </w:t>
      </w:r>
      <w:r w:rsidRPr="00E06028">
        <w:rPr>
          <w:rFonts w:ascii="Noto Sans" w:eastAsia="Gill Sans" w:hAnsi="Noto Sans" w:cs="Noto Sans"/>
          <w:sz w:val="20"/>
          <w:szCs w:val="20"/>
          <w:lang w:val="fr-FR"/>
        </w:rPr>
        <w:lastRenderedPageBreak/>
        <w:t xml:space="preserve">de répondre aux exigences de conformité et de productivité des fabricants à travers de nombreux secteurs, notamment l'agroalimentaire, les boissons, et les produits pharmaceutiques et industriels. Les technologies de base de l'entreprise incluent des systèmes innovants comme le jet d'encre, le laser, l’impression-pose d’étiquettes et le codage transfert thermique conçus pour l'application de données variables, de codes à barres et de codes de traçabilité uniques sur les produits et les emballages. </w:t>
      </w:r>
      <w:r w:rsidRPr="00E06028">
        <w:rPr>
          <w:rFonts w:ascii="Noto Sans" w:eastAsia="Gill Sans" w:hAnsi="Noto Sans" w:cs="Noto Sans"/>
          <w:sz w:val="20"/>
          <w:szCs w:val="20"/>
          <w:lang w:val="fr-FR"/>
        </w:rPr>
        <w:br/>
      </w:r>
      <w:r w:rsidRPr="00E06028">
        <w:rPr>
          <w:rFonts w:ascii="Noto Sans" w:eastAsia="Gill Sans" w:hAnsi="Noto Sans" w:cs="Noto Sans"/>
          <w:sz w:val="20"/>
          <w:szCs w:val="20"/>
          <w:lang w:val="fr-FR"/>
        </w:rPr>
        <w:br/>
        <w:t>Domino emploie plus de 3 000 personnes à travers le monde et ses produits sont vendus dans plus de 120 pays grâce à un réseau mondial de 29 filiales et de plus de 200 distributeurs. Domino possède des sites de production en Allemagne, en Chine, aux États-Unis, en Inde, au Royaume-Uni, en Suède et en Suisse.</w:t>
      </w:r>
      <w:r w:rsidRPr="00E06028">
        <w:rPr>
          <w:rFonts w:ascii="Noto Sans" w:eastAsia="Gill Sans" w:hAnsi="Noto Sans" w:cs="Noto Sans"/>
          <w:sz w:val="20"/>
          <w:szCs w:val="20"/>
          <w:lang w:val="fr-FR"/>
        </w:rPr>
        <w:br/>
      </w:r>
      <w:r w:rsidRPr="00E06028">
        <w:rPr>
          <w:rFonts w:ascii="Noto Sans" w:eastAsia="Gill Sans" w:hAnsi="Noto Sans" w:cs="Noto Sans"/>
          <w:sz w:val="20"/>
          <w:szCs w:val="20"/>
          <w:lang w:val="fr-FR"/>
        </w:rPr>
        <w:br/>
        <w:t xml:space="preserve">Depuis le 11 juin 2015, Domino est une division autonome de Brother Industries Ltd. </w:t>
      </w:r>
      <w:r w:rsidRPr="00E06028">
        <w:rPr>
          <w:rFonts w:ascii="Noto Sans" w:eastAsia="Gill Sans" w:hAnsi="Noto Sans" w:cs="Noto Sans"/>
          <w:sz w:val="20"/>
          <w:szCs w:val="20"/>
          <w:lang w:val="fr-FR"/>
        </w:rPr>
        <w:br/>
      </w:r>
      <w:r w:rsidRPr="00E06028">
        <w:rPr>
          <w:rFonts w:ascii="Noto Sans" w:eastAsia="Gill Sans" w:hAnsi="Noto Sans" w:cs="Noto Sans"/>
          <w:sz w:val="20"/>
          <w:szCs w:val="20"/>
          <w:lang w:val="fr-FR"/>
        </w:rPr>
        <w:br/>
        <w:t xml:space="preserve">Pour plus d'informations sur Domino, veuillez consulter </w:t>
      </w:r>
      <w:hyperlink r:id="rId15" w:history="1">
        <w:r w:rsidRPr="00E06028">
          <w:rPr>
            <w:rStyle w:val="Hyperlink"/>
            <w:rFonts w:ascii="Noto Sans" w:eastAsia="Gill Sans" w:hAnsi="Noto Sans" w:cs="Noto Sans"/>
            <w:sz w:val="20"/>
            <w:szCs w:val="20"/>
            <w:lang w:val="fr-FR"/>
          </w:rPr>
          <w:t>www.domino-printing.com</w:t>
        </w:r>
      </w:hyperlink>
      <w:r w:rsidRPr="00E06028">
        <w:rPr>
          <w:rFonts w:ascii="Noto Sans" w:eastAsia="Gill Sans" w:hAnsi="Noto Sans" w:cs="Noto Sans"/>
          <w:sz w:val="20"/>
          <w:szCs w:val="20"/>
          <w:lang w:val="fr-FR"/>
        </w:rPr>
        <w:t xml:space="preserve"> </w:t>
      </w:r>
      <w:r w:rsidRPr="00E06028">
        <w:rPr>
          <w:rFonts w:ascii="Noto Sans" w:eastAsia="Gill Sans" w:hAnsi="Noto Sans" w:cs="Noto Sans"/>
          <w:sz w:val="20"/>
          <w:szCs w:val="20"/>
          <w:lang w:val="fr-FR"/>
        </w:rPr>
        <w:br/>
      </w:r>
      <w:r w:rsidRPr="00E06028">
        <w:rPr>
          <w:rFonts w:ascii="Noto Sans" w:eastAsia="Gill Sans" w:hAnsi="Noto Sans" w:cs="Noto Sans"/>
          <w:sz w:val="20"/>
          <w:szCs w:val="20"/>
          <w:lang w:val="fr-FR"/>
        </w:rPr>
        <w:br/>
      </w:r>
      <w:r w:rsidRPr="00E06028">
        <w:rPr>
          <w:rFonts w:ascii="Noto Sans" w:eastAsia="Gill Sans" w:hAnsi="Noto Sans" w:cs="Noto Sans"/>
          <w:b/>
          <w:bCs/>
          <w:sz w:val="20"/>
          <w:szCs w:val="20"/>
          <w:lang w:val="fr-FR"/>
        </w:rPr>
        <w:t>Pour de plus amples renseignements, veuillez contacter :</w:t>
      </w:r>
      <w:r w:rsidRPr="00E06028">
        <w:rPr>
          <w:rFonts w:ascii="Noto Sans" w:eastAsia="Gill Sans" w:hAnsi="Noto Sans" w:cs="Noto Sans"/>
          <w:b/>
          <w:sz w:val="20"/>
          <w:szCs w:val="20"/>
          <w:lang w:val="fr-FR"/>
        </w:rPr>
        <w:br/>
      </w:r>
      <w:r w:rsidRPr="00E06028">
        <w:rPr>
          <w:rFonts w:ascii="Noto Sans" w:eastAsia="Gill Sans" w:hAnsi="Noto Sans" w:cs="Noto Sans"/>
          <w:b/>
          <w:sz w:val="20"/>
          <w:szCs w:val="20"/>
          <w:lang w:val="fr-FR"/>
        </w:rPr>
        <w:br/>
      </w:r>
      <w:r w:rsidRPr="00E06028">
        <w:rPr>
          <w:rFonts w:ascii="Noto Sans" w:hAnsi="Noto Sans" w:cs="Noto Sans"/>
          <w:sz w:val="20"/>
          <w:szCs w:val="20"/>
          <w:lang w:val="fr-FR"/>
        </w:rPr>
        <w:t xml:space="preserve">Jade Taylor-Salazar </w:t>
      </w:r>
      <w:r w:rsidRPr="00E06028">
        <w:rPr>
          <w:rFonts w:ascii="Noto Sans" w:hAnsi="Noto Sans" w:cs="Noto Sans"/>
          <w:sz w:val="20"/>
          <w:szCs w:val="20"/>
          <w:lang w:val="fr-FR"/>
        </w:rPr>
        <w:br/>
        <w:t xml:space="preserve">Spécialiste en contenu rédactionnel </w:t>
      </w:r>
      <w:r w:rsidRPr="00E06028">
        <w:rPr>
          <w:rFonts w:ascii="Noto Sans" w:hAnsi="Noto Sans" w:cs="Noto Sans"/>
          <w:sz w:val="20"/>
          <w:szCs w:val="20"/>
          <w:lang w:val="fr-FR"/>
        </w:rPr>
        <w:br/>
        <w:t xml:space="preserve">Domino Printing Sciences </w:t>
      </w:r>
      <w:r w:rsidRPr="00E06028">
        <w:rPr>
          <w:rFonts w:ascii="Noto Sans" w:hAnsi="Noto Sans" w:cs="Noto Sans"/>
          <w:sz w:val="20"/>
          <w:szCs w:val="20"/>
          <w:lang w:val="fr-FR"/>
        </w:rPr>
        <w:br/>
        <w:t>Tél. : +44 (0) 1954 778780</w:t>
      </w:r>
      <w:r w:rsidRPr="00E06028">
        <w:rPr>
          <w:rFonts w:ascii="Noto Sans" w:hAnsi="Noto Sans" w:cs="Noto Sans"/>
          <w:sz w:val="20"/>
          <w:szCs w:val="20"/>
          <w:lang w:val="fr-FR"/>
        </w:rPr>
        <w:br/>
      </w:r>
      <w:hyperlink r:id="rId16" w:history="1">
        <w:r w:rsidRPr="00E06028">
          <w:rPr>
            <w:rStyle w:val="Hyperlink"/>
            <w:rFonts w:ascii="Noto Sans" w:hAnsi="Noto Sans" w:cs="Noto Sans"/>
            <w:sz w:val="20"/>
            <w:szCs w:val="20"/>
            <w:lang w:val="fr-FR"/>
          </w:rPr>
          <w:t>Jade.Taylor-Salazar@domino-uk.com</w:t>
        </w:r>
      </w:hyperlink>
      <w:r w:rsidRPr="00E06028">
        <w:rPr>
          <w:rFonts w:ascii="Noto Sans" w:eastAsia="Verdana" w:hAnsi="Noto Sans" w:cs="Noto Sans"/>
          <w:sz w:val="20"/>
          <w:szCs w:val="20"/>
          <w:lang w:val="fr-FR"/>
        </w:rPr>
        <w:br/>
      </w:r>
      <w:r w:rsidRPr="00E06028">
        <w:rPr>
          <w:rFonts w:ascii="Noto Sans" w:eastAsia="Verdana" w:hAnsi="Noto Sans" w:cs="Noto Sans"/>
          <w:sz w:val="20"/>
          <w:szCs w:val="20"/>
          <w:lang w:val="fr-FR"/>
        </w:rPr>
        <w:br/>
      </w:r>
      <w:bookmarkEnd w:id="0"/>
      <w:bookmarkEnd w:id="1"/>
      <w:r w:rsidRPr="00E06028">
        <w:rPr>
          <w:rFonts w:ascii="Noto Sans" w:hAnsi="Noto Sans" w:cs="Noto Sans"/>
          <w:sz w:val="20"/>
          <w:szCs w:val="20"/>
          <w:lang w:val="fr-FR"/>
        </w:rPr>
        <w:t>Delphine Baudesson</w:t>
      </w:r>
      <w:r w:rsidRPr="00E06028">
        <w:rPr>
          <w:rFonts w:ascii="Noto Sans" w:hAnsi="Noto Sans" w:cs="Noto Sans"/>
          <w:sz w:val="20"/>
          <w:szCs w:val="20"/>
          <w:lang w:val="fr-FR"/>
        </w:rPr>
        <w:br/>
        <w:t xml:space="preserve">Responsable du marketing </w:t>
      </w:r>
      <w:r w:rsidRPr="00E06028">
        <w:rPr>
          <w:rFonts w:ascii="Noto Sans" w:hAnsi="Noto Sans" w:cs="Noto Sans"/>
          <w:sz w:val="20"/>
          <w:szCs w:val="20"/>
          <w:lang w:val="fr-FR"/>
        </w:rPr>
        <w:br/>
        <w:t>Domino Printing Sciences France</w:t>
      </w:r>
      <w:r w:rsidRPr="00E06028">
        <w:rPr>
          <w:rFonts w:ascii="Noto Sans" w:hAnsi="Noto Sans" w:cs="Noto Sans"/>
          <w:sz w:val="20"/>
          <w:szCs w:val="20"/>
          <w:lang w:val="fr-FR"/>
        </w:rPr>
        <w:br/>
        <w:t>Tél. : +33 6 78 58 81 59</w:t>
      </w:r>
      <w:r w:rsidRPr="00E06028">
        <w:rPr>
          <w:rFonts w:ascii="Noto Sans" w:hAnsi="Noto Sans" w:cs="Noto Sans"/>
          <w:sz w:val="20"/>
          <w:szCs w:val="20"/>
          <w:lang w:val="fr-FR"/>
        </w:rPr>
        <w:br/>
      </w:r>
      <w:hyperlink r:id="rId17" w:history="1">
        <w:r w:rsidRPr="00E06028">
          <w:rPr>
            <w:rStyle w:val="Hyperlink"/>
            <w:rFonts w:ascii="Noto Sans" w:hAnsi="Noto Sans" w:cs="Noto Sans"/>
            <w:sz w:val="20"/>
            <w:szCs w:val="20"/>
            <w:lang w:val="fr-FR"/>
          </w:rPr>
          <w:t>delphine.baudesson@domino-marquage.com</w:t>
        </w:r>
      </w:hyperlink>
    </w:p>
    <w:sectPr w:rsidR="00FC60D1" w:rsidRPr="00AF5F16" w:rsidSect="000F6D00">
      <w:headerReference w:type="even" r:id="rId18"/>
      <w:headerReference w:type="default" r:id="rId19"/>
      <w:footerReference w:type="even" r:id="rId20"/>
      <w:footerReference w:type="default" r:id="rId21"/>
      <w:headerReference w:type="first" r:id="rId22"/>
      <w:footerReference w:type="first" r:id="rId23"/>
      <w:pgSz w:w="11906" w:h="16838"/>
      <w:pgMar w:top="1440" w:right="1440" w:bottom="1440" w:left="1440" w:header="1531" w:footer="22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41D3C2" w14:textId="77777777" w:rsidR="00F83AFC" w:rsidRDefault="00F83AFC" w:rsidP="00785717">
      <w:pPr>
        <w:spacing w:line="240" w:lineRule="auto"/>
      </w:pPr>
      <w:r>
        <w:separator/>
      </w:r>
    </w:p>
  </w:endnote>
  <w:endnote w:type="continuationSeparator" w:id="0">
    <w:p w14:paraId="3D256663" w14:textId="77777777" w:rsidR="00F83AFC" w:rsidRDefault="00F83AFC" w:rsidP="0078571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w:panose1 w:val="020B0502040504020204"/>
    <w:charset w:val="00"/>
    <w:family w:val="swiss"/>
    <w:pitch w:val="variable"/>
    <w:sig w:usb0="E00082FF" w:usb1="400078FF" w:usb2="08000029"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Gill San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893AAE" w14:textId="77777777" w:rsidR="00EC1C5A" w:rsidRDefault="00EC1C5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45462D" w14:textId="77777777" w:rsidR="00785717" w:rsidRDefault="000F6D00" w:rsidP="00785717">
    <w:pPr>
      <w:pStyle w:val="Footer"/>
    </w:pPr>
    <w:r>
      <w:rPr>
        <w:noProof/>
        <w:lang w:val="fr"/>
      </w:rPr>
      <w:drawing>
        <wp:anchor distT="0" distB="0" distL="114300" distR="114300" simplePos="0" relativeHeight="251659264" behindDoc="0" locked="0" layoutInCell="1" allowOverlap="1" wp14:anchorId="1E1C7EB6" wp14:editId="4635D4B9">
          <wp:simplePos x="0" y="0"/>
          <wp:positionH relativeFrom="column">
            <wp:posOffset>4953000</wp:posOffset>
          </wp:positionH>
          <wp:positionV relativeFrom="paragraph">
            <wp:posOffset>1231440</wp:posOffset>
          </wp:positionV>
          <wp:extent cx="1466850" cy="1393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1466850" cy="139350"/>
                  </a:xfrm>
                  <a:prstGeom prst="rect">
                    <a:avLst/>
                  </a:prstGeom>
                </pic:spPr>
              </pic:pic>
            </a:graphicData>
          </a:graphic>
          <wp14:sizeRelH relativeFrom="margin">
            <wp14:pctWidth>0</wp14:pctWidth>
          </wp14:sizeRelH>
          <wp14:sizeRelV relativeFrom="margin">
            <wp14:pctHeight>0</wp14:pctHeight>
          </wp14:sizeRelV>
        </wp:anchor>
      </w:drawing>
    </w:r>
    <w:r>
      <w:rPr>
        <w:noProof/>
        <w:lang w:val="fr"/>
      </w:rPr>
      <w:drawing>
        <wp:anchor distT="0" distB="0" distL="114300" distR="114300" simplePos="0" relativeHeight="251658240" behindDoc="1" locked="0" layoutInCell="1" allowOverlap="1" wp14:anchorId="1A2E976C" wp14:editId="0873D863">
          <wp:simplePos x="0" y="0"/>
          <wp:positionH relativeFrom="page">
            <wp:posOffset>47625</wp:posOffset>
          </wp:positionH>
          <wp:positionV relativeFrom="page">
            <wp:posOffset>9247505</wp:posOffset>
          </wp:positionV>
          <wp:extent cx="7448550" cy="1259840"/>
          <wp:effectExtent l="0" t="0" r="0" b="0"/>
          <wp:wrapNone/>
          <wp:docPr id="1" name="Picture 1" descr="Une image contenant un couteau&#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knife&#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7448550" cy="125984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C56C4E" w14:textId="77777777" w:rsidR="00EC1C5A" w:rsidRDefault="00EC1C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872A79" w14:textId="77777777" w:rsidR="00F83AFC" w:rsidRDefault="00F83AFC" w:rsidP="00785717">
      <w:pPr>
        <w:spacing w:line="240" w:lineRule="auto"/>
      </w:pPr>
      <w:r>
        <w:separator/>
      </w:r>
    </w:p>
  </w:footnote>
  <w:footnote w:type="continuationSeparator" w:id="0">
    <w:p w14:paraId="6AE5DC72" w14:textId="77777777" w:rsidR="00F83AFC" w:rsidRDefault="00F83AFC" w:rsidP="0078571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21BE24" w14:textId="77777777" w:rsidR="00EC1C5A" w:rsidRDefault="00EC1C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453109" w14:textId="77777777" w:rsidR="000F6D00" w:rsidRDefault="002766D9">
    <w:pPr>
      <w:pStyle w:val="Header"/>
    </w:pPr>
    <w:r>
      <w:rPr>
        <w:noProof/>
        <w:lang w:val="fr"/>
      </w:rPr>
      <w:drawing>
        <wp:anchor distT="0" distB="0" distL="114300" distR="114300" simplePos="0" relativeHeight="251661312" behindDoc="0" locked="0" layoutInCell="1" allowOverlap="1" wp14:anchorId="02217FB9" wp14:editId="5A2D7CE0">
          <wp:simplePos x="0" y="0"/>
          <wp:positionH relativeFrom="page">
            <wp:posOffset>228600</wp:posOffset>
          </wp:positionH>
          <wp:positionV relativeFrom="paragraph">
            <wp:posOffset>-972185</wp:posOffset>
          </wp:positionV>
          <wp:extent cx="2781300" cy="1096645"/>
          <wp:effectExtent l="0" t="0" r="0" b="0"/>
          <wp:wrapSquare wrapText="bothSides"/>
          <wp:docPr id="3" name="Picture 3" descr="Logo, nom de l’entrepris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a:picLocks noChangeAspect="1" noChangeArrowheads="1"/>
                  </pic:cNvPicPr>
                </pic:nvPicPr>
                <pic:blipFill rotWithShape="1">
                  <a:blip r:embed="rId1">
                    <a:clrChange>
                      <a:clrFrom>
                        <a:srgbClr val="FFFEFD"/>
                      </a:clrFrom>
                      <a:clrTo>
                        <a:srgbClr val="FFFEFD">
                          <a:alpha val="0"/>
                        </a:srgbClr>
                      </a:clrTo>
                    </a:clrChange>
                    <a:extLst>
                      <a:ext uri="{28A0092B-C50C-407E-A947-70E740481C1C}">
                        <a14:useLocalDpi xmlns:a14="http://schemas.microsoft.com/office/drawing/2010/main" val="0"/>
                      </a:ext>
                    </a:extLst>
                  </a:blip>
                  <a:srcRect b="11420"/>
                  <a:stretch/>
                </pic:blipFill>
                <pic:spPr bwMode="auto">
                  <a:xfrm>
                    <a:off x="0" y="0"/>
                    <a:ext cx="2781300" cy="10966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44CE99" w14:textId="77777777" w:rsidR="00EC1C5A" w:rsidRDefault="00EC1C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770B86"/>
    <w:multiLevelType w:val="hybridMultilevel"/>
    <w:tmpl w:val="8CAAF4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DE2083"/>
    <w:multiLevelType w:val="hybridMultilevel"/>
    <w:tmpl w:val="CAC232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8006FC"/>
    <w:multiLevelType w:val="hybridMultilevel"/>
    <w:tmpl w:val="22A69E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C95969"/>
    <w:multiLevelType w:val="hybridMultilevel"/>
    <w:tmpl w:val="461ACF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C25461C"/>
    <w:multiLevelType w:val="hybridMultilevel"/>
    <w:tmpl w:val="CE1A4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D0E2975"/>
    <w:multiLevelType w:val="hybridMultilevel"/>
    <w:tmpl w:val="32462C38"/>
    <w:lvl w:ilvl="0" w:tplc="D5C221F0">
      <w:start w:val="28"/>
      <w:numFmt w:val="bullet"/>
      <w:lvlText w:val="•"/>
      <w:lvlJc w:val="left"/>
      <w:pPr>
        <w:ind w:left="720" w:hanging="360"/>
      </w:pPr>
      <w:rPr>
        <w:rFonts w:ascii="Noto Sans" w:eastAsiaTheme="minorHAnsi" w:hAnsi="Noto Sans" w:cs="Noto Sa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57C5B7C"/>
    <w:multiLevelType w:val="hybridMultilevel"/>
    <w:tmpl w:val="F10A93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7094E5F"/>
    <w:multiLevelType w:val="hybridMultilevel"/>
    <w:tmpl w:val="A342AD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88F36D6"/>
    <w:multiLevelType w:val="hybridMultilevel"/>
    <w:tmpl w:val="F006C2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C124764"/>
    <w:multiLevelType w:val="hybridMultilevel"/>
    <w:tmpl w:val="390CF2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9481693"/>
    <w:multiLevelType w:val="hybridMultilevel"/>
    <w:tmpl w:val="7A4655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01297223">
    <w:abstractNumId w:val="4"/>
  </w:num>
  <w:num w:numId="2" w16cid:durableId="789973462">
    <w:abstractNumId w:val="2"/>
  </w:num>
  <w:num w:numId="3" w16cid:durableId="1661418756">
    <w:abstractNumId w:val="0"/>
  </w:num>
  <w:num w:numId="4" w16cid:durableId="881132230">
    <w:abstractNumId w:val="1"/>
  </w:num>
  <w:num w:numId="5" w16cid:durableId="1548905882">
    <w:abstractNumId w:val="9"/>
  </w:num>
  <w:num w:numId="6" w16cid:durableId="924847670">
    <w:abstractNumId w:val="7"/>
  </w:num>
  <w:num w:numId="7" w16cid:durableId="1689478440">
    <w:abstractNumId w:val="10"/>
  </w:num>
  <w:num w:numId="8" w16cid:durableId="1170756794">
    <w:abstractNumId w:val="5"/>
  </w:num>
  <w:num w:numId="9" w16cid:durableId="1791774850">
    <w:abstractNumId w:val="8"/>
  </w:num>
  <w:num w:numId="10" w16cid:durableId="312753943">
    <w:abstractNumId w:val="3"/>
  </w:num>
  <w:num w:numId="11" w16cid:durableId="189715849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9E5"/>
    <w:rsid w:val="00013DDC"/>
    <w:rsid w:val="0002201E"/>
    <w:rsid w:val="00026E91"/>
    <w:rsid w:val="00056659"/>
    <w:rsid w:val="0007606A"/>
    <w:rsid w:val="0008055C"/>
    <w:rsid w:val="00092A28"/>
    <w:rsid w:val="000B0D1E"/>
    <w:rsid w:val="000B39E5"/>
    <w:rsid w:val="000C3E6E"/>
    <w:rsid w:val="000C4189"/>
    <w:rsid w:val="000D67D4"/>
    <w:rsid w:val="000F6D00"/>
    <w:rsid w:val="00120A4B"/>
    <w:rsid w:val="00123335"/>
    <w:rsid w:val="00147BDA"/>
    <w:rsid w:val="00154852"/>
    <w:rsid w:val="0016494D"/>
    <w:rsid w:val="0019183C"/>
    <w:rsid w:val="001A1E02"/>
    <w:rsid w:val="001B3C96"/>
    <w:rsid w:val="001B6C66"/>
    <w:rsid w:val="001D075B"/>
    <w:rsid w:val="001D088A"/>
    <w:rsid w:val="001D0D31"/>
    <w:rsid w:val="001D14C2"/>
    <w:rsid w:val="001D3B45"/>
    <w:rsid w:val="001D56AF"/>
    <w:rsid w:val="001D743C"/>
    <w:rsid w:val="001E0029"/>
    <w:rsid w:val="001E0DA6"/>
    <w:rsid w:val="001F2A92"/>
    <w:rsid w:val="0022395D"/>
    <w:rsid w:val="00230AF6"/>
    <w:rsid w:val="00235286"/>
    <w:rsid w:val="00241D69"/>
    <w:rsid w:val="0025370F"/>
    <w:rsid w:val="002712C5"/>
    <w:rsid w:val="00271E2C"/>
    <w:rsid w:val="002766D9"/>
    <w:rsid w:val="002A5C3E"/>
    <w:rsid w:val="002B4AEF"/>
    <w:rsid w:val="002B5F5C"/>
    <w:rsid w:val="002C62C4"/>
    <w:rsid w:val="003463E1"/>
    <w:rsid w:val="00346661"/>
    <w:rsid w:val="00372E92"/>
    <w:rsid w:val="003806BB"/>
    <w:rsid w:val="003A04BE"/>
    <w:rsid w:val="003A73AA"/>
    <w:rsid w:val="003D14E0"/>
    <w:rsid w:val="003D26B0"/>
    <w:rsid w:val="0040273F"/>
    <w:rsid w:val="00403203"/>
    <w:rsid w:val="00403C95"/>
    <w:rsid w:val="0044217B"/>
    <w:rsid w:val="00451D05"/>
    <w:rsid w:val="00453AF6"/>
    <w:rsid w:val="00467DF6"/>
    <w:rsid w:val="00484C95"/>
    <w:rsid w:val="00494652"/>
    <w:rsid w:val="004B2359"/>
    <w:rsid w:val="004D2009"/>
    <w:rsid w:val="004D5437"/>
    <w:rsid w:val="004E7371"/>
    <w:rsid w:val="004E7A00"/>
    <w:rsid w:val="004F3A48"/>
    <w:rsid w:val="00507FAE"/>
    <w:rsid w:val="0052146E"/>
    <w:rsid w:val="005272B1"/>
    <w:rsid w:val="0054340C"/>
    <w:rsid w:val="00550DC6"/>
    <w:rsid w:val="005524DB"/>
    <w:rsid w:val="005719CC"/>
    <w:rsid w:val="005741C7"/>
    <w:rsid w:val="00582BE6"/>
    <w:rsid w:val="005A530F"/>
    <w:rsid w:val="005C7F7A"/>
    <w:rsid w:val="00601E90"/>
    <w:rsid w:val="00607ECA"/>
    <w:rsid w:val="006346E1"/>
    <w:rsid w:val="00647055"/>
    <w:rsid w:val="00652E49"/>
    <w:rsid w:val="00660F46"/>
    <w:rsid w:val="00664B78"/>
    <w:rsid w:val="006771E5"/>
    <w:rsid w:val="00681513"/>
    <w:rsid w:val="00683807"/>
    <w:rsid w:val="0068653B"/>
    <w:rsid w:val="006921CF"/>
    <w:rsid w:val="006A003E"/>
    <w:rsid w:val="006C1035"/>
    <w:rsid w:val="006D6D74"/>
    <w:rsid w:val="006F22C2"/>
    <w:rsid w:val="00715781"/>
    <w:rsid w:val="007228EC"/>
    <w:rsid w:val="007304D2"/>
    <w:rsid w:val="00753771"/>
    <w:rsid w:val="00781AE2"/>
    <w:rsid w:val="00785717"/>
    <w:rsid w:val="00790826"/>
    <w:rsid w:val="0079732B"/>
    <w:rsid w:val="00805461"/>
    <w:rsid w:val="008105CF"/>
    <w:rsid w:val="00820356"/>
    <w:rsid w:val="008220B7"/>
    <w:rsid w:val="00823B77"/>
    <w:rsid w:val="0082645A"/>
    <w:rsid w:val="0083283B"/>
    <w:rsid w:val="00836C2D"/>
    <w:rsid w:val="008916A8"/>
    <w:rsid w:val="008B0B52"/>
    <w:rsid w:val="008B6461"/>
    <w:rsid w:val="008D3FCD"/>
    <w:rsid w:val="008E63C9"/>
    <w:rsid w:val="008F3E38"/>
    <w:rsid w:val="008F7FB8"/>
    <w:rsid w:val="00900C65"/>
    <w:rsid w:val="0091361D"/>
    <w:rsid w:val="00931712"/>
    <w:rsid w:val="00931996"/>
    <w:rsid w:val="009447D9"/>
    <w:rsid w:val="00946E74"/>
    <w:rsid w:val="009512A1"/>
    <w:rsid w:val="009A1716"/>
    <w:rsid w:val="009A1DEC"/>
    <w:rsid w:val="009B019A"/>
    <w:rsid w:val="009D6280"/>
    <w:rsid w:val="00A000A0"/>
    <w:rsid w:val="00A076A5"/>
    <w:rsid w:val="00A34918"/>
    <w:rsid w:val="00A34BA8"/>
    <w:rsid w:val="00A4639E"/>
    <w:rsid w:val="00A702E4"/>
    <w:rsid w:val="00A8476E"/>
    <w:rsid w:val="00AA45B1"/>
    <w:rsid w:val="00AB11DA"/>
    <w:rsid w:val="00AB5E52"/>
    <w:rsid w:val="00AD35B1"/>
    <w:rsid w:val="00AF0D6A"/>
    <w:rsid w:val="00AF5F16"/>
    <w:rsid w:val="00AF7701"/>
    <w:rsid w:val="00B23C3C"/>
    <w:rsid w:val="00B32963"/>
    <w:rsid w:val="00B546C5"/>
    <w:rsid w:val="00B56381"/>
    <w:rsid w:val="00B62659"/>
    <w:rsid w:val="00B6459B"/>
    <w:rsid w:val="00B74435"/>
    <w:rsid w:val="00B75DEA"/>
    <w:rsid w:val="00BB3C21"/>
    <w:rsid w:val="00BC51E6"/>
    <w:rsid w:val="00BC5937"/>
    <w:rsid w:val="00BC7C15"/>
    <w:rsid w:val="00BD362D"/>
    <w:rsid w:val="00BD6428"/>
    <w:rsid w:val="00BE1C5A"/>
    <w:rsid w:val="00BE318F"/>
    <w:rsid w:val="00BF6282"/>
    <w:rsid w:val="00C031C9"/>
    <w:rsid w:val="00C04503"/>
    <w:rsid w:val="00C063FE"/>
    <w:rsid w:val="00C14A96"/>
    <w:rsid w:val="00C3130B"/>
    <w:rsid w:val="00C34953"/>
    <w:rsid w:val="00C44603"/>
    <w:rsid w:val="00C531BB"/>
    <w:rsid w:val="00C541FE"/>
    <w:rsid w:val="00C67DA8"/>
    <w:rsid w:val="00C82AAC"/>
    <w:rsid w:val="00CB12D1"/>
    <w:rsid w:val="00CB15E5"/>
    <w:rsid w:val="00CE14C1"/>
    <w:rsid w:val="00CE444F"/>
    <w:rsid w:val="00CE6DB0"/>
    <w:rsid w:val="00CF1AD5"/>
    <w:rsid w:val="00D04951"/>
    <w:rsid w:val="00D74E9F"/>
    <w:rsid w:val="00DA6A93"/>
    <w:rsid w:val="00E03029"/>
    <w:rsid w:val="00E356EC"/>
    <w:rsid w:val="00E368BC"/>
    <w:rsid w:val="00E41C59"/>
    <w:rsid w:val="00EC1C5A"/>
    <w:rsid w:val="00ED2CCF"/>
    <w:rsid w:val="00EE6DA7"/>
    <w:rsid w:val="00EF11A4"/>
    <w:rsid w:val="00F16D9A"/>
    <w:rsid w:val="00F60EB0"/>
    <w:rsid w:val="00F6691B"/>
    <w:rsid w:val="00F66BFF"/>
    <w:rsid w:val="00F77AA2"/>
    <w:rsid w:val="00F82F7D"/>
    <w:rsid w:val="00F83AFC"/>
    <w:rsid w:val="00FA7E16"/>
    <w:rsid w:val="00FB276E"/>
    <w:rsid w:val="00FC60D1"/>
    <w:rsid w:val="00FD35A8"/>
    <w:rsid w:val="00FD6C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791FD9"/>
  <w15:chartTrackingRefBased/>
  <w15:docId w15:val="{471625E0-0F97-4C97-B86E-20C9593E5C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39E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8571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5717"/>
  </w:style>
  <w:style w:type="paragraph" w:styleId="Footer">
    <w:name w:val="footer"/>
    <w:basedOn w:val="Normal"/>
    <w:link w:val="FooterChar"/>
    <w:uiPriority w:val="99"/>
    <w:unhideWhenUsed/>
    <w:rsid w:val="0078571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5717"/>
  </w:style>
  <w:style w:type="character" w:styleId="Hyperlink">
    <w:name w:val="Hyperlink"/>
    <w:basedOn w:val="DefaultParagraphFont"/>
    <w:uiPriority w:val="99"/>
    <w:rsid w:val="001D743C"/>
    <w:rPr>
      <w:color w:val="0000FF"/>
      <w:u w:val="single"/>
    </w:rPr>
  </w:style>
  <w:style w:type="paragraph" w:styleId="NoSpacing">
    <w:name w:val="No Spacing"/>
    <w:uiPriority w:val="1"/>
    <w:qFormat/>
    <w:rsid w:val="001D743C"/>
    <w:pPr>
      <w:spacing w:after="0" w:line="240" w:lineRule="auto"/>
    </w:pPr>
    <w:rPr>
      <w:rFonts w:ascii="Verdana" w:eastAsia="Calibri" w:hAnsi="Verdana" w:cs="Times New Roman"/>
      <w:sz w:val="18"/>
    </w:rPr>
  </w:style>
  <w:style w:type="character" w:styleId="UnresolvedMention">
    <w:name w:val="Unresolved Mention"/>
    <w:basedOn w:val="DefaultParagraphFont"/>
    <w:uiPriority w:val="99"/>
    <w:semiHidden/>
    <w:unhideWhenUsed/>
    <w:rsid w:val="00931996"/>
    <w:rPr>
      <w:color w:val="605E5C"/>
      <w:shd w:val="clear" w:color="auto" w:fill="E1DFDD"/>
    </w:rPr>
  </w:style>
  <w:style w:type="paragraph" w:styleId="NormalWeb">
    <w:name w:val="Normal (Web)"/>
    <w:basedOn w:val="Normal"/>
    <w:uiPriority w:val="99"/>
    <w:unhideWhenUsed/>
    <w:rsid w:val="000B39E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123335"/>
    <w:pPr>
      <w:spacing w:after="0" w:line="240" w:lineRule="auto"/>
      <w:ind w:left="720"/>
    </w:pPr>
    <w:rPr>
      <w:rFonts w:ascii="Calibri" w:hAnsi="Calibri" w:cs="Calibri"/>
      <w:lang w:eastAsia="en-GB"/>
      <w14:ligatures w14:val="standardContextual"/>
    </w:rPr>
  </w:style>
  <w:style w:type="character" w:styleId="CommentReference">
    <w:name w:val="annotation reference"/>
    <w:basedOn w:val="DefaultParagraphFont"/>
    <w:uiPriority w:val="99"/>
    <w:semiHidden/>
    <w:unhideWhenUsed/>
    <w:rsid w:val="00C82AAC"/>
    <w:rPr>
      <w:sz w:val="16"/>
      <w:szCs w:val="16"/>
    </w:rPr>
  </w:style>
  <w:style w:type="paragraph" w:styleId="CommentText">
    <w:name w:val="annotation text"/>
    <w:basedOn w:val="Normal"/>
    <w:link w:val="CommentTextChar"/>
    <w:uiPriority w:val="99"/>
    <w:unhideWhenUsed/>
    <w:rsid w:val="00C82AAC"/>
    <w:pPr>
      <w:spacing w:line="240" w:lineRule="auto"/>
    </w:pPr>
    <w:rPr>
      <w:sz w:val="20"/>
      <w:szCs w:val="20"/>
    </w:rPr>
  </w:style>
  <w:style w:type="character" w:customStyle="1" w:styleId="CommentTextChar">
    <w:name w:val="Comment Text Char"/>
    <w:basedOn w:val="DefaultParagraphFont"/>
    <w:link w:val="CommentText"/>
    <w:uiPriority w:val="99"/>
    <w:rsid w:val="00C82AAC"/>
    <w:rPr>
      <w:sz w:val="20"/>
      <w:szCs w:val="20"/>
    </w:rPr>
  </w:style>
  <w:style w:type="paragraph" w:styleId="CommentSubject">
    <w:name w:val="annotation subject"/>
    <w:basedOn w:val="CommentText"/>
    <w:next w:val="CommentText"/>
    <w:link w:val="CommentSubjectChar"/>
    <w:uiPriority w:val="99"/>
    <w:semiHidden/>
    <w:unhideWhenUsed/>
    <w:rsid w:val="00C82AAC"/>
    <w:rPr>
      <w:b/>
      <w:bCs/>
    </w:rPr>
  </w:style>
  <w:style w:type="character" w:customStyle="1" w:styleId="CommentSubjectChar">
    <w:name w:val="Comment Subject Char"/>
    <w:basedOn w:val="CommentTextChar"/>
    <w:link w:val="CommentSubject"/>
    <w:uiPriority w:val="99"/>
    <w:semiHidden/>
    <w:rsid w:val="00C82AAC"/>
    <w:rPr>
      <w:b/>
      <w:bCs/>
      <w:sz w:val="20"/>
      <w:szCs w:val="20"/>
    </w:rPr>
  </w:style>
  <w:style w:type="character" w:styleId="FollowedHyperlink">
    <w:name w:val="FollowedHyperlink"/>
    <w:basedOn w:val="DefaultParagraphFont"/>
    <w:uiPriority w:val="99"/>
    <w:semiHidden/>
    <w:unhideWhenUsed/>
    <w:rsid w:val="004E7371"/>
    <w:rPr>
      <w:color w:val="954F72" w:themeColor="followedHyperlink"/>
      <w:u w:val="single"/>
    </w:rPr>
  </w:style>
  <w:style w:type="paragraph" w:styleId="Revision">
    <w:name w:val="Revision"/>
    <w:hidden/>
    <w:uiPriority w:val="99"/>
    <w:semiHidden/>
    <w:rsid w:val="00C3495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00664">
      <w:bodyDiv w:val="1"/>
      <w:marLeft w:val="0"/>
      <w:marRight w:val="0"/>
      <w:marTop w:val="0"/>
      <w:marBottom w:val="0"/>
      <w:divBdr>
        <w:top w:val="none" w:sz="0" w:space="0" w:color="auto"/>
        <w:left w:val="none" w:sz="0" w:space="0" w:color="auto"/>
        <w:bottom w:val="none" w:sz="0" w:space="0" w:color="auto"/>
        <w:right w:val="none" w:sz="0" w:space="0" w:color="auto"/>
      </w:divBdr>
    </w:div>
    <w:div w:id="573079212">
      <w:bodyDiv w:val="1"/>
      <w:marLeft w:val="0"/>
      <w:marRight w:val="0"/>
      <w:marTop w:val="0"/>
      <w:marBottom w:val="0"/>
      <w:divBdr>
        <w:top w:val="none" w:sz="0" w:space="0" w:color="auto"/>
        <w:left w:val="none" w:sz="0" w:space="0" w:color="auto"/>
        <w:bottom w:val="none" w:sz="0" w:space="0" w:color="auto"/>
        <w:right w:val="none" w:sz="0" w:space="0" w:color="auto"/>
      </w:divBdr>
    </w:div>
    <w:div w:id="1259171484">
      <w:bodyDiv w:val="1"/>
      <w:marLeft w:val="0"/>
      <w:marRight w:val="0"/>
      <w:marTop w:val="0"/>
      <w:marBottom w:val="0"/>
      <w:divBdr>
        <w:top w:val="none" w:sz="0" w:space="0" w:color="auto"/>
        <w:left w:val="none" w:sz="0" w:space="0" w:color="auto"/>
        <w:bottom w:val="none" w:sz="0" w:space="0" w:color="auto"/>
        <w:right w:val="none" w:sz="0" w:space="0" w:color="auto"/>
      </w:divBdr>
    </w:div>
    <w:div w:id="2128809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m.org/2024-third-quarter-manufacturers-outlook-survey/" TargetMode="External"/><Relationship Id="rId13" Type="http://schemas.openxmlformats.org/officeDocument/2006/relationships/hyperlink" Target="https://www.forbes.com/councils/forbestechcouncil/2021/10/12/why-process-automation-initiatives-fail-and-how-yours-can-succeed/"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mckinsey.com/capabilities/operations/our-insights/getting-warehouse-automation-right" TargetMode="External"/><Relationship Id="rId17" Type="http://schemas.openxmlformats.org/officeDocument/2006/relationships/hyperlink" Target="mailto:delphine.baudesson@domino-marquage.co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Jade.Taylor-Salazar@domino-uk.co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atista.com/statistics/1250585/warehouse-robotics-market-revenue-worldwide/"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domino-printing.com" TargetMode="External"/><Relationship Id="rId23" Type="http://schemas.openxmlformats.org/officeDocument/2006/relationships/footer" Target="footer3.xml"/><Relationship Id="rId10" Type="http://schemas.openxmlformats.org/officeDocument/2006/relationships/hyperlink" Target="https://statzon.com/insights/the-warehouse-automation-market"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meteorspace.com/important-warehouse-automation-statistics/" TargetMode="External"/><Relationship Id="rId14" Type="http://schemas.openxmlformats.org/officeDocument/2006/relationships/hyperlink" Target="https://www.gartner.com/en/newsroom/press-releases/2024-07-29-gartner-predicts-30-percent-of-generative-ai-projects-will-be-abandoned-after-proof-of-concept-by-end-of-2025" TargetMode="External"/><Relationship Id="rId22" Type="http://schemas.openxmlformats.org/officeDocument/2006/relationships/header" Target="header3.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_Taylor-Salazar\AppData\Roaming\Microsoft\Templates\header%20and%20foot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C3D25A-4184-BF4E-8A1C-C08BBDD862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header and footer</Template>
  <TotalTime>13</TotalTime>
  <Pages>6</Pages>
  <Words>2405</Words>
  <Characters>13712</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Jade Taylor-Salazar</dc:creator>
  <cp:keywords/>
  <dc:description/>
  <cp:lastModifiedBy>Rachael Cooper</cp:lastModifiedBy>
  <cp:revision>4</cp:revision>
  <dcterms:created xsi:type="dcterms:W3CDTF">2025-02-07T16:09:00Z</dcterms:created>
  <dcterms:modified xsi:type="dcterms:W3CDTF">2025-03-19T12:51:00Z</dcterms:modified>
</cp:coreProperties>
</file>