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spacing w:after="200" w:line="276" w:lineRule="auto"/>
        <w:rPr/>
      </w:pPr>
      <w:bookmarkStart w:colFirst="0" w:colLast="0" w:name="_mjxe5frqiul8" w:id="0"/>
      <w:bookmarkEnd w:id="0"/>
      <w:r w:rsidDel="00000000" w:rsidR="00000000" w:rsidRPr="00000000">
        <w:rPr>
          <w:rtl w:val="0"/>
        </w:rPr>
        <w:t xml:space="preserve">Dorabianie do etatu – jak efektywnie organizować czas i zwiększyć domowy budżet</w:t>
      </w:r>
    </w:p>
    <w:p w:rsidR="00000000" w:rsidDel="00000000" w:rsidP="00000000" w:rsidRDefault="00000000" w:rsidRPr="00000000" w14:paraId="00000002">
      <w:pPr>
        <w:spacing w:after="240" w:before="240" w:line="276" w:lineRule="auto"/>
        <w:rPr>
          <w:b w:val="1"/>
        </w:rPr>
      </w:pPr>
      <w:r w:rsidDel="00000000" w:rsidR="00000000" w:rsidRPr="00000000">
        <w:rPr>
          <w:b w:val="1"/>
          <w:rtl w:val="0"/>
        </w:rPr>
        <w:t xml:space="preserve">Łączenie etatu z freelancingiem to dla wielu osób sposób na zwiększenie dochodów i rozwój zawodowy. Dodatkowa praca wymaga jednak dobrej organizacji i świadomego podejścia do zarządzania czasem. Jakie branże najlepiej sprawdzają się w freelancingu, gdzie szukać pierwszych zleceń i jak uniknąć wypalenia zawodowego?</w:t>
      </w:r>
    </w:p>
    <w:p w:rsidR="00000000" w:rsidDel="00000000" w:rsidP="00000000" w:rsidRDefault="00000000" w:rsidRPr="00000000" w14:paraId="00000003">
      <w:pPr>
        <w:spacing w:after="240" w:before="240" w:line="276" w:lineRule="auto"/>
        <w:rPr/>
      </w:pPr>
      <w:r w:rsidDel="00000000" w:rsidR="00000000" w:rsidRPr="00000000">
        <w:rPr>
          <w:rtl w:val="0"/>
        </w:rPr>
        <w:t xml:space="preserve">Coraz więcej pracowników etatowych szuka sposobów na zwiększenie domowego budżetu. Rosnące koszty życia sprawiają, że dodatkowe źródło dochodu staje się często koniecznością. Popularnym rozwiązaniem jest freelancing, który oferuje elastyczne godziny pracy i możliwość realizowania zleceń w dogodnym czasie. Jednak łączenie etatu z dodatkowymi zajęciami wymaga skutecznego zarządzania czasem, umiejętnej selekcji zleceń oraz odpowiedniej strategii rozwoju.</w:t>
      </w:r>
    </w:p>
    <w:p w:rsidR="00000000" w:rsidDel="00000000" w:rsidP="00000000" w:rsidRDefault="00000000" w:rsidRPr="00000000" w14:paraId="00000004">
      <w:pPr>
        <w:spacing w:after="240" w:before="240" w:line="276" w:lineRule="auto"/>
        <w:rPr/>
      </w:pPr>
      <w:r w:rsidDel="00000000" w:rsidR="00000000" w:rsidRPr="00000000">
        <w:rPr>
          <w:rtl w:val="0"/>
        </w:rPr>
        <w:t xml:space="preserve">– </w:t>
      </w:r>
      <w:r w:rsidDel="00000000" w:rsidR="00000000" w:rsidRPr="00000000">
        <w:rPr>
          <w:i w:val="1"/>
          <w:rtl w:val="0"/>
        </w:rPr>
        <w:t xml:space="preserve">Przed rozpoczęciem pracy jako freelancer warto sprawdzić, czy nie obowiązują nas umowy ograniczające tę działalność. Umowa o zachowaniu poufności (NDA, non-disclosure agreement) chroni informacje firmy i może zabraniać ich wykorzystania poza pracodawcą, nawet w niezwiązanych projektach. Umowa o zakazie konkurencji może natomiast uniemożliwiać podejmowanie zleceń w tej samej branży. Nieprzestrzeganie tych zasad grozi konsekwencjami prawnymi, dlatego warto dokładnie przeanalizować swoje zobowiązania i, jeśli to konieczne, skonsultować się z prawnikiem</w:t>
      </w:r>
      <w:r w:rsidDel="00000000" w:rsidR="00000000" w:rsidRPr="00000000">
        <w:rPr>
          <w:rtl w:val="0"/>
        </w:rPr>
        <w:t xml:space="preserve"> – wyjaśnia Żaneta Siwik, Product Marketing Lead w Useme.</w:t>
      </w:r>
    </w:p>
    <w:p w:rsidR="00000000" w:rsidDel="00000000" w:rsidP="00000000" w:rsidRDefault="00000000" w:rsidRPr="00000000" w14:paraId="00000005">
      <w:pPr>
        <w:pStyle w:val="Heading2"/>
        <w:keepNext w:val="0"/>
        <w:keepLines w:val="0"/>
        <w:spacing w:after="80" w:line="276" w:lineRule="auto"/>
        <w:rPr>
          <w:rFonts w:ascii="Lato" w:cs="Lato" w:eastAsia="Lato" w:hAnsi="Lato"/>
          <w:color w:val="000000"/>
          <w:sz w:val="20"/>
          <w:szCs w:val="20"/>
        </w:rPr>
      </w:pPr>
      <w:bookmarkStart w:colFirst="0" w:colLast="0" w:name="_n3zsyknngw21" w:id="1"/>
      <w:bookmarkEnd w:id="1"/>
      <w:r w:rsidDel="00000000" w:rsidR="00000000" w:rsidRPr="00000000">
        <w:rPr>
          <w:rFonts w:ascii="Lato" w:cs="Lato" w:eastAsia="Lato" w:hAnsi="Lato"/>
          <w:color w:val="000000"/>
          <w:sz w:val="20"/>
          <w:szCs w:val="20"/>
          <w:rtl w:val="0"/>
        </w:rPr>
        <w:t xml:space="preserve">Jakie zawody i umiejętności sprawdzają się w freelancingu?</w:t>
      </w:r>
    </w:p>
    <w:p w:rsidR="00000000" w:rsidDel="00000000" w:rsidP="00000000" w:rsidRDefault="00000000" w:rsidRPr="00000000" w14:paraId="00000006">
      <w:pPr>
        <w:spacing w:after="240" w:before="240" w:line="276" w:lineRule="auto"/>
        <w:rPr/>
      </w:pPr>
      <w:r w:rsidDel="00000000" w:rsidR="00000000" w:rsidRPr="00000000">
        <w:rPr>
          <w:rtl w:val="0"/>
        </w:rPr>
        <w:t xml:space="preserve">Freelancing daje szerokie możliwości dorabiania, ale nie każda działalność sprawdzi się w przypadku osoby pracującej na etacie. Najlepiej wybrać zajęcie z elastycznym grafikiem, które nie wymaga dużych inwestycji początkowych. Wśród popularnych obszarów freelancingu wyróżniają się przede wszystkim prace kreatywne i cyfrowe, takie jak copywriting, projektowanie graficzne, UX/UI design, programowanie, tłumaczenia oraz montaż wideo. Dużym zainteresowaniem cieszą się także usługi edukacyjne, w tym korepetycje online.</w:t>
      </w:r>
    </w:p>
    <w:p w:rsidR="00000000" w:rsidDel="00000000" w:rsidP="00000000" w:rsidRDefault="00000000" w:rsidRPr="00000000" w14:paraId="00000007">
      <w:pPr>
        <w:spacing w:after="240" w:before="240" w:line="276" w:lineRule="auto"/>
        <w:rPr/>
      </w:pPr>
      <w:r w:rsidDel="00000000" w:rsidR="00000000" w:rsidRPr="00000000">
        <w:rPr>
          <w:rtl w:val="0"/>
        </w:rPr>
        <w:t xml:space="preserve">Coraz więcej osób decyduje się również na prowadzenie profili firmowych w mediach społecznościowych, zarządzanie kampaniami reklamowymi oraz tworzenie strategii content marketingowych. Dla tych, którzy wolą pracę offline, atrakcyjną opcją może być fotografia czy, rękodzieło. Wszystkie te zajęcia pozwalają na swobodne dopasowanie czasu pracy, co jest kluczowe dla osób łączących etat z dodatkowymi zleceniami.</w:t>
      </w:r>
    </w:p>
    <w:p w:rsidR="00000000" w:rsidDel="00000000" w:rsidP="00000000" w:rsidRDefault="00000000" w:rsidRPr="00000000" w14:paraId="00000008">
      <w:pPr>
        <w:pStyle w:val="Heading2"/>
        <w:keepNext w:val="0"/>
        <w:keepLines w:val="0"/>
        <w:spacing w:after="80" w:line="276" w:lineRule="auto"/>
        <w:rPr>
          <w:rFonts w:ascii="Lato" w:cs="Lato" w:eastAsia="Lato" w:hAnsi="Lato"/>
          <w:color w:val="000000"/>
          <w:sz w:val="20"/>
          <w:szCs w:val="20"/>
        </w:rPr>
      </w:pPr>
      <w:bookmarkStart w:colFirst="0" w:colLast="0" w:name="_2hmrii4bxj0o" w:id="2"/>
      <w:bookmarkEnd w:id="2"/>
      <w:r w:rsidDel="00000000" w:rsidR="00000000" w:rsidRPr="00000000">
        <w:rPr>
          <w:rFonts w:ascii="Lato" w:cs="Lato" w:eastAsia="Lato" w:hAnsi="Lato"/>
          <w:color w:val="000000"/>
          <w:sz w:val="20"/>
          <w:szCs w:val="20"/>
          <w:rtl w:val="0"/>
        </w:rPr>
        <w:t xml:space="preserve">Jak pogodzić etat z freelancingiem?</w:t>
      </w:r>
    </w:p>
    <w:p w:rsidR="00000000" w:rsidDel="00000000" w:rsidP="00000000" w:rsidRDefault="00000000" w:rsidRPr="00000000" w14:paraId="00000009">
      <w:pPr>
        <w:spacing w:after="240" w:before="240" w:line="276" w:lineRule="auto"/>
        <w:rPr/>
      </w:pPr>
      <w:r w:rsidDel="00000000" w:rsidR="00000000" w:rsidRPr="00000000">
        <w:rPr>
          <w:rtl w:val="0"/>
        </w:rPr>
        <w:t xml:space="preserve">Dorabianie po godzinach może prowadzić do przemęczenia, jeśli nie zadbamy o skuteczne zarządzanie czasem. Pierwszym krokiem jest realistyczna ocena dostępnych godzin i stworzenie harmonogramu, który nie koliduje z obowiązkami zawodowymi. Nie każdy ma czas na pracę wieczorami – warto więc ustalić konkretne dni lub godziny na freelancing.</w:t>
      </w:r>
    </w:p>
    <w:p w:rsidR="00000000" w:rsidDel="00000000" w:rsidP="00000000" w:rsidRDefault="00000000" w:rsidRPr="00000000" w14:paraId="0000000A">
      <w:pPr>
        <w:spacing w:after="240" w:before="240" w:line="276" w:lineRule="auto"/>
        <w:rPr/>
      </w:pPr>
      <w:r w:rsidDel="00000000" w:rsidR="00000000" w:rsidRPr="00000000">
        <w:rPr>
          <w:rtl w:val="0"/>
        </w:rPr>
        <w:t xml:space="preserve">Oprócz odpowiedniego planowania kluczowe jest także umiejętne selekcjonowanie zleceń. Przyjmowanie zbyt wielu projektów naraz może prowadzić do wypalenia, dlatego warto stawiać na jakość zamiast ilości. Początkujący freelancerzy często zaniżają swoje stawki, aby zdobyć pierwsze doświadczenia, jednak z czasem warto skupić się na bardziej dochodowych zleceniach i odpowiedniej wycenie swojej pracy.</w:t>
      </w:r>
    </w:p>
    <w:p w:rsidR="00000000" w:rsidDel="00000000" w:rsidP="00000000" w:rsidRDefault="00000000" w:rsidRPr="00000000" w14:paraId="0000000B">
      <w:pPr>
        <w:pStyle w:val="Heading2"/>
        <w:keepNext w:val="0"/>
        <w:keepLines w:val="0"/>
        <w:spacing w:after="80" w:line="276" w:lineRule="auto"/>
        <w:rPr>
          <w:rFonts w:ascii="Lato" w:cs="Lato" w:eastAsia="Lato" w:hAnsi="Lato"/>
          <w:color w:val="000000"/>
          <w:sz w:val="20"/>
          <w:szCs w:val="20"/>
        </w:rPr>
      </w:pPr>
      <w:bookmarkStart w:colFirst="0" w:colLast="0" w:name="_9zfb8exbncej" w:id="3"/>
      <w:bookmarkEnd w:id="3"/>
      <w:r w:rsidDel="00000000" w:rsidR="00000000" w:rsidRPr="00000000">
        <w:rPr>
          <w:rFonts w:ascii="Lato" w:cs="Lato" w:eastAsia="Lato" w:hAnsi="Lato"/>
          <w:color w:val="000000"/>
          <w:sz w:val="20"/>
          <w:szCs w:val="20"/>
          <w:rtl w:val="0"/>
        </w:rPr>
        <w:t xml:space="preserve">Gdzie szukać pierwszych zleceń?</w:t>
      </w:r>
    </w:p>
    <w:p w:rsidR="00000000" w:rsidDel="00000000" w:rsidP="00000000" w:rsidRDefault="00000000" w:rsidRPr="00000000" w14:paraId="0000000C">
      <w:pPr>
        <w:spacing w:after="240" w:before="240" w:line="276" w:lineRule="auto"/>
        <w:rPr/>
      </w:pPr>
      <w:r w:rsidDel="00000000" w:rsidR="00000000" w:rsidRPr="00000000">
        <w:rPr>
          <w:rtl w:val="0"/>
        </w:rPr>
        <w:t xml:space="preserve">Zdobycie pierwszych klientów bywa trudne, ale istnieje kilka skutecznych metod, które mogą ułatwić start w freelancingu. Jednym z najprostszych sposobów jest rejestracja na platformach dla niezależnych specjalistów, gdzie można szybko znaleźć pierwsze zlecenia i zbudować portfolio.</w:t>
      </w:r>
    </w:p>
    <w:p w:rsidR="00000000" w:rsidDel="00000000" w:rsidP="00000000" w:rsidRDefault="00000000" w:rsidRPr="00000000" w14:paraId="0000000D">
      <w:pPr>
        <w:spacing w:after="240" w:before="240" w:line="276" w:lineRule="auto"/>
        <w:rPr/>
      </w:pPr>
      <w:r w:rsidDel="00000000" w:rsidR="00000000" w:rsidRPr="00000000">
        <w:rPr>
          <w:rtl w:val="0"/>
        </w:rPr>
        <w:t xml:space="preserve">– </w:t>
      </w:r>
      <w:r w:rsidDel="00000000" w:rsidR="00000000" w:rsidRPr="00000000">
        <w:rPr>
          <w:i w:val="1"/>
          <w:rtl w:val="0"/>
        </w:rPr>
        <w:t xml:space="preserve">Platformy freelancerskie to wygodne rozwiązanie dla osób rozpoczynających pracę na własny rachunek. Oprócz dostępu do szerokiej bazy zleceń oferują one także bezpieczny system rozliczeń i dotyczą zarówno nowych, jak i obecnych klientów, które posiada freelancer. Platformy pośredniczą w płatnościach i chronią interesy podwykonawców, minimalizując ryzyko braku zapłaty za wykonaną pracę. Dzięki nim freelancerzy mogą elastycznie dobierać projekty i ustalać własne stawki. Warto jednak pamiętać, że konkurencja jest duża, dlatego kluczowe jest budowanie dobrego portfolio i aktywne aplikowanie do ofert</w:t>
      </w:r>
      <w:r w:rsidDel="00000000" w:rsidR="00000000" w:rsidRPr="00000000">
        <w:rPr>
          <w:rtl w:val="0"/>
        </w:rPr>
        <w:t xml:space="preserve"> – tłumaczy Żaneta Siwik, Product Marketing Lead w Useme.</w:t>
      </w:r>
    </w:p>
    <w:p w:rsidR="00000000" w:rsidDel="00000000" w:rsidP="00000000" w:rsidRDefault="00000000" w:rsidRPr="00000000" w14:paraId="0000000E">
      <w:pPr>
        <w:spacing w:after="240" w:before="240" w:line="276" w:lineRule="auto"/>
        <w:rPr/>
      </w:pPr>
      <w:r w:rsidDel="00000000" w:rsidR="00000000" w:rsidRPr="00000000">
        <w:rPr>
          <w:rtl w:val="0"/>
        </w:rPr>
        <w:t xml:space="preserve">Oprócz platform internetowych warto także korzystać z mediów społecznościowych – zwłaszcza LinkedIn i grup tematycznych na Facebooku, gdzie regularnie pojawiają się oferty współpracy. Niezwykle skuteczną strategią jest budowanie marki osobistej poprzez publikowanie wartościowych treści, prowadzenie bloga lub strony internetowej z portfolio. Nie można też lekceważyć siły networkingu – pierwsze zlecenia często pochodzą od znajomych, dawnych współpracowników lub nawet obecnego pracodawcy, jeśli regulamin pracy nie zabrania dodatkowej działalności.</w:t>
      </w:r>
    </w:p>
    <w:p w:rsidR="00000000" w:rsidDel="00000000" w:rsidP="00000000" w:rsidRDefault="00000000" w:rsidRPr="00000000" w14:paraId="0000000F">
      <w:pPr>
        <w:pStyle w:val="Heading2"/>
        <w:keepNext w:val="0"/>
        <w:keepLines w:val="0"/>
        <w:spacing w:after="80" w:line="276" w:lineRule="auto"/>
        <w:rPr>
          <w:rFonts w:ascii="Lato" w:cs="Lato" w:eastAsia="Lato" w:hAnsi="Lato"/>
          <w:color w:val="000000"/>
          <w:sz w:val="20"/>
          <w:szCs w:val="20"/>
        </w:rPr>
      </w:pPr>
      <w:bookmarkStart w:colFirst="0" w:colLast="0" w:name="_6jpc9b4hmiu7" w:id="4"/>
      <w:bookmarkEnd w:id="4"/>
      <w:r w:rsidDel="00000000" w:rsidR="00000000" w:rsidRPr="00000000">
        <w:rPr>
          <w:rFonts w:ascii="Lato" w:cs="Lato" w:eastAsia="Lato" w:hAnsi="Lato"/>
          <w:color w:val="000000"/>
          <w:sz w:val="20"/>
          <w:szCs w:val="20"/>
          <w:rtl w:val="0"/>
        </w:rPr>
        <w:t xml:space="preserve">Czy freelancing to przyszłość?</w:t>
      </w:r>
    </w:p>
    <w:p w:rsidR="00000000" w:rsidDel="00000000" w:rsidP="00000000" w:rsidRDefault="00000000" w:rsidRPr="00000000" w14:paraId="00000010">
      <w:pPr>
        <w:spacing w:after="240" w:before="240" w:line="276" w:lineRule="auto"/>
        <w:rPr/>
      </w:pPr>
      <w:r w:rsidDel="00000000" w:rsidR="00000000" w:rsidRPr="00000000">
        <w:rPr>
          <w:rtl w:val="0"/>
        </w:rPr>
        <w:t xml:space="preserve">Dorabianie w formie freelancingu to nie tylko chwilowy trend, ale coraz popularniejszy model pracy. Dla wielu osób stanowi stabilne źródło dodatkowego dochodu, a dla niektórych może być pierwszym krokiem do przejścia na pełnoetatową działalność. Kluczowe jest jednak strategiczne podejście – selekcjonowanie zleceń, dbanie o odpowiednie stawki i świadome zarządzanie swoim czasem.</w:t>
      </w:r>
    </w:p>
    <w:p w:rsidR="00000000" w:rsidDel="00000000" w:rsidP="00000000" w:rsidRDefault="00000000" w:rsidRPr="00000000" w14:paraId="00000011">
      <w:pPr>
        <w:spacing w:after="240" w:before="240" w:line="276" w:lineRule="auto"/>
        <w:rPr>
          <w:i w:val="1"/>
        </w:rPr>
      </w:pPr>
      <w:r w:rsidDel="00000000" w:rsidR="00000000" w:rsidRPr="00000000">
        <w:rPr>
          <w:rtl w:val="0"/>
        </w:rPr>
        <w:t xml:space="preserve">– </w:t>
      </w:r>
      <w:r w:rsidDel="00000000" w:rsidR="00000000" w:rsidRPr="00000000">
        <w:rPr>
          <w:i w:val="1"/>
          <w:rtl w:val="0"/>
        </w:rPr>
        <w:t xml:space="preserve">Chociaż freelancing daje dużą swobodę, niesie także wyzwania. Nadmiar pracy może prowadzić do wypalenia zawodowego, dlatego warto świadomie zarządzać swoją energią i określić granice między pracą a życiem prywatnym. Z drugiej strony, dobrze zaplanowana działalność freelancerska może nie tylko zwiększyć budżet domowy, ale także otworzyć nowe możliwości zawodowe i dać większą elastyczność w przyszłości. Dla osób, które szukają niezależności i chcą dywersyfikować swoje źródła dochodu, freelancing może okazać się doskonałym rozwiązaniem </w:t>
      </w:r>
      <w:r w:rsidDel="00000000" w:rsidR="00000000" w:rsidRPr="00000000">
        <w:rPr>
          <w:rtl w:val="0"/>
        </w:rPr>
        <w:t xml:space="preserve">– podsumowuje Żaneta Siwik, Product Marketing Lead w Useme.</w:t>
      </w:r>
      <w:r w:rsidDel="00000000" w:rsidR="00000000" w:rsidRPr="00000000">
        <w:rPr>
          <w:rtl w:val="0"/>
        </w:rPr>
      </w:r>
    </w:p>
    <w:p w:rsidR="00000000" w:rsidDel="00000000" w:rsidP="00000000" w:rsidRDefault="00000000" w:rsidRPr="00000000" w14:paraId="00000012">
      <w:pPr>
        <w:spacing w:after="240" w:before="240" w:line="276" w:lineRule="auto"/>
        <w:rPr>
          <w:i w:val="1"/>
        </w:rPr>
      </w:pPr>
      <w:r w:rsidDel="00000000" w:rsidR="00000000" w:rsidRPr="00000000">
        <w:rPr>
          <w:rtl w:val="0"/>
        </w:rPr>
      </w:r>
    </w:p>
    <w:p w:rsidR="00000000" w:rsidDel="00000000" w:rsidP="00000000" w:rsidRDefault="00000000" w:rsidRPr="00000000" w14:paraId="00000013">
      <w:pPr>
        <w:spacing w:after="200" w:line="276" w:lineRule="auto"/>
        <w:rPr>
          <w:sz w:val="16"/>
          <w:szCs w:val="16"/>
        </w:rPr>
      </w:pPr>
      <w:r w:rsidDel="00000000" w:rsidR="00000000" w:rsidRPr="00000000">
        <w:rPr>
          <w:sz w:val="16"/>
          <w:szCs w:val="16"/>
          <w:rtl w:val="0"/>
        </w:rPr>
        <w:t xml:space="preserve">Useme to istniejąca od 2013 roku platforma dla freelancerów oraz zleceniodawców z siedzibą we Wrocławiu. W bazie Useme znajduje się 185 tys. freelancerów z takich dziedzin jak IT, grafika, copywriting, marketing, tłumaczenia i inne. Platforma zajmuje się wszystkimi kwestiami prawnymi i podatkowymi po stronie freelancera i zleceniodawcy, a także umożliwia rozliczanie podwykonawców zagranicznych. Useme jest liderem rozliczeń pracy zdalnej w Polsce, Europie Centralnej i Wschodniej.</w:t>
      </w:r>
    </w:p>
    <w:p w:rsidR="00000000" w:rsidDel="00000000" w:rsidP="00000000" w:rsidRDefault="00000000" w:rsidRPr="00000000" w14:paraId="00000014">
      <w:pPr>
        <w:spacing w:after="200" w:line="276" w:lineRule="auto"/>
        <w:rPr>
          <w:sz w:val="24"/>
          <w:szCs w:val="24"/>
        </w:rPr>
      </w:pPr>
      <w:r w:rsidDel="00000000" w:rsidR="00000000" w:rsidRPr="00000000">
        <w:rPr>
          <w:rtl w:val="0"/>
        </w:rPr>
      </w:r>
    </w:p>
    <w:p w:rsidR="00000000" w:rsidDel="00000000" w:rsidP="00000000" w:rsidRDefault="00000000" w:rsidRPr="00000000" w14:paraId="00000015">
      <w:pPr>
        <w:widowControl w:val="0"/>
        <w:spacing w:after="0" w:line="276" w:lineRule="auto"/>
        <w:ind w:firstLine="709"/>
        <w:jc w:val="right"/>
        <w:rPr>
          <w:b w:val="1"/>
        </w:rPr>
      </w:pPr>
      <w:r w:rsidDel="00000000" w:rsidR="00000000" w:rsidRPr="00000000">
        <w:rPr>
          <w:b w:val="1"/>
          <w:rtl w:val="0"/>
        </w:rPr>
        <w:t xml:space="preserve">Kontakt dla mediów:</w:t>
      </w:r>
    </w:p>
    <w:p w:rsidR="00000000" w:rsidDel="00000000" w:rsidP="00000000" w:rsidRDefault="00000000" w:rsidRPr="00000000" w14:paraId="00000016">
      <w:pPr>
        <w:widowControl w:val="0"/>
        <w:spacing w:after="0" w:line="276" w:lineRule="auto"/>
        <w:ind w:firstLine="709"/>
        <w:jc w:val="right"/>
        <w:rPr/>
      </w:pPr>
      <w:r w:rsidDel="00000000" w:rsidR="00000000" w:rsidRPr="00000000">
        <w:rPr>
          <w:rtl w:val="0"/>
        </w:rPr>
        <w:t xml:space="preserve">Paulina Bartkowska</w:t>
      </w:r>
    </w:p>
    <w:p w:rsidR="00000000" w:rsidDel="00000000" w:rsidP="00000000" w:rsidRDefault="00000000" w:rsidRPr="00000000" w14:paraId="00000017">
      <w:pPr>
        <w:widowControl w:val="0"/>
        <w:spacing w:after="0" w:line="276" w:lineRule="auto"/>
        <w:ind w:firstLine="709"/>
        <w:jc w:val="right"/>
        <w:rPr/>
      </w:pPr>
      <w:hyperlink r:id="rId6">
        <w:r w:rsidDel="00000000" w:rsidR="00000000" w:rsidRPr="00000000">
          <w:rPr>
            <w:color w:val="1155cc"/>
            <w:u w:val="single"/>
            <w:rtl w:val="0"/>
          </w:rPr>
          <w:t xml:space="preserve">paulina.bartkowska@goodonepr.pl</w:t>
        </w:r>
      </w:hyperlink>
      <w:r w:rsidDel="00000000" w:rsidR="00000000" w:rsidRPr="00000000">
        <w:rPr>
          <w:rtl w:val="0"/>
        </w:rPr>
      </w:r>
    </w:p>
    <w:p w:rsidR="00000000" w:rsidDel="00000000" w:rsidP="00000000" w:rsidRDefault="00000000" w:rsidRPr="00000000" w14:paraId="00000018">
      <w:pPr>
        <w:widowControl w:val="0"/>
        <w:spacing w:after="0" w:line="276" w:lineRule="auto"/>
        <w:ind w:firstLine="709"/>
        <w:jc w:val="right"/>
        <w:rPr>
          <w:i w:val="1"/>
        </w:rPr>
      </w:pPr>
      <w:r w:rsidDel="00000000" w:rsidR="00000000" w:rsidRPr="00000000">
        <w:rPr>
          <w:rtl w:val="0"/>
        </w:rPr>
        <w:t xml:space="preserve">+48 796 996 844</w:t>
      </w:r>
      <w:r w:rsidDel="00000000" w:rsidR="00000000" w:rsidRPr="00000000">
        <w:rPr>
          <w:rtl w:val="0"/>
        </w:rPr>
      </w:r>
    </w:p>
    <w:p w:rsidR="00000000" w:rsidDel="00000000" w:rsidP="00000000" w:rsidRDefault="00000000" w:rsidRPr="00000000" w14:paraId="00000019">
      <w:pPr>
        <w:spacing w:after="200" w:lineRule="auto"/>
        <w:rPr>
          <w:i w:val="1"/>
        </w:rPr>
      </w:pPr>
      <w:r w:rsidDel="00000000" w:rsidR="00000000" w:rsidRPr="00000000">
        <w:rPr>
          <w:rtl w:val="0"/>
        </w:rPr>
      </w:r>
    </w:p>
    <w:sectPr>
      <w:headerReference r:id="rId7" w:type="default"/>
      <w:headerReference r:id="rId8" w:type="first"/>
      <w:footerReference r:id="rId9" w:type="default"/>
      <w:footerReference r:id="rId10" w:type="first"/>
      <w:pgSz w:h="16834" w:w="11909" w:orient="portrait"/>
      <w:pgMar w:bottom="948.3070866141725" w:top="1440" w:left="1440" w:right="1440" w:header="566.9291338582677" w:footer="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La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PT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B">
    <w:pPr>
      <w:spacing w:line="240" w:lineRule="auto"/>
      <w:rPr/>
    </w:pP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85726</wp:posOffset>
          </wp:positionH>
          <wp:positionV relativeFrom="paragraph">
            <wp:posOffset>517525</wp:posOffset>
          </wp:positionV>
          <wp:extent cx="187325" cy="257572"/>
          <wp:effectExtent b="0" l="0" r="0" t="0"/>
          <wp:wrapNone/>
          <wp:docPr id="3"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187325" cy="257572"/>
                  </a:xfrm>
                  <a:prstGeom prst="rect"/>
                  <a:ln/>
                </pic:spPr>
              </pic:pic>
            </a:graphicData>
          </a:graphic>
        </wp:anchor>
      </w:drawing>
    </w:r>
  </w:p>
  <w:tbl>
    <w:tblPr>
      <w:tblStyle w:val="Table1"/>
      <w:tblW w:w="9029.0" w:type="dxa"/>
      <w:jc w:val="right"/>
      <w:tblLayout w:type="fixed"/>
      <w:tblLook w:val="0600"/>
    </w:tblPr>
    <w:tblGrid>
      <w:gridCol w:w="675"/>
      <w:gridCol w:w="6854"/>
      <w:gridCol w:w="1500"/>
      <w:tblGridChange w:id="0">
        <w:tblGrid>
          <w:gridCol w:w="675"/>
          <w:gridCol w:w="6854"/>
          <w:gridCol w:w="1500"/>
        </w:tblGrid>
      </w:tblGridChange>
    </w:tblGrid>
    <w:tr>
      <w:trPr>
        <w:cantSplit w:val="0"/>
        <w:tblHeader w:val="0"/>
      </w:trPr>
      <w:tc>
        <w:tcPr>
          <w:tcBorders>
            <w:top w:color="000000" w:space="0" w:sz="0" w:val="nil"/>
            <w:left w:color="000000" w:space="0" w:sz="0" w:val="nil"/>
            <w:bottom w:color="000000" w:space="0" w:sz="0" w:val="nil"/>
            <w:right w:color="000000" w:space="0" w:sz="0" w:val="nil"/>
          </w:tcBorders>
          <w:shd w:fill="auto" w:val="clear"/>
          <w:tcMar>
            <w:top w:w="158.740157480315" w:type="dxa"/>
            <w:left w:w="158.740157480315" w:type="dxa"/>
            <w:bottom w:w="158.740157480315" w:type="dxa"/>
            <w:right w:w="158.740157480315" w:type="dxa"/>
          </w:tcMar>
          <w:vAlign w:val="bottom"/>
        </w:tcPr>
        <w:p w:rsidR="00000000" w:rsidDel="00000000" w:rsidP="00000000" w:rsidRDefault="00000000" w:rsidRPr="00000000" w14:paraId="0000001C">
          <w:pPr>
            <w:spacing w:after="0" w:line="240" w:lineRule="auto"/>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807.3070866141733" w:type="dxa"/>
            <w:left w:w="-807.3070866141733" w:type="dxa"/>
            <w:bottom w:w="-807.3070866141733" w:type="dxa"/>
            <w:right w:w="-807.3070866141733" w:type="dxa"/>
          </w:tcMar>
          <w:vAlign w:val="bottom"/>
        </w:tcPr>
        <w:p w:rsidR="00000000" w:rsidDel="00000000" w:rsidP="00000000" w:rsidRDefault="00000000" w:rsidRPr="00000000" w14:paraId="0000001D">
          <w:pPr>
            <w:spacing w:after="0" w:line="240" w:lineRule="auto"/>
            <w:jc w:val="center"/>
            <w:rPr>
              <w:color w:val="787b93"/>
              <w:sz w:val="16"/>
              <w:szCs w:val="16"/>
            </w:rPr>
          </w:pPr>
          <w:r w:rsidDel="00000000" w:rsidR="00000000" w:rsidRPr="00000000">
            <w:rPr>
              <w:color w:val="787b93"/>
              <w:sz w:val="16"/>
              <w:szCs w:val="16"/>
              <w:rtl w:val="0"/>
            </w:rPr>
            <w:t xml:space="preserve">Useme Sp. z o.o. · ul. Świdnicka 12-16 · 50-068 Wrocław · Polska · NIP: 8992744965</w:t>
          </w:r>
        </w:p>
      </w:tc>
      <w:tc>
        <w:tcPr>
          <w:tcBorders>
            <w:top w:color="000000" w:space="0" w:sz="0" w:val="nil"/>
            <w:left w:color="000000" w:space="0" w:sz="0" w:val="nil"/>
            <w:bottom w:color="000000" w:space="0" w:sz="0" w:val="nil"/>
            <w:right w:color="000000" w:space="0" w:sz="0" w:val="nil"/>
          </w:tcBorders>
          <w:shd w:fill="auto" w:val="clear"/>
          <w:tcMar>
            <w:top w:w="-807.3070866141733" w:type="dxa"/>
            <w:left w:w="-807.3070866141733" w:type="dxa"/>
            <w:bottom w:w="-807.3070866141733" w:type="dxa"/>
            <w:right w:w="-807.3070866141733" w:type="dxa"/>
          </w:tcMar>
          <w:vAlign w:val="bottom"/>
        </w:tcPr>
        <w:p w:rsidR="00000000" w:rsidDel="00000000" w:rsidP="00000000" w:rsidRDefault="00000000" w:rsidRPr="00000000" w14:paraId="0000001E">
          <w:pPr>
            <w:widowControl w:val="0"/>
            <w:spacing w:after="0" w:line="240" w:lineRule="auto"/>
            <w:jc w:val="left"/>
            <w:rPr>
              <w:b w:val="1"/>
              <w:color w:val="4955ff"/>
              <w:sz w:val="18"/>
              <w:szCs w:val="18"/>
            </w:rPr>
          </w:pPr>
          <w:r w:rsidDel="00000000" w:rsidR="00000000" w:rsidRPr="00000000">
            <w:rPr>
              <w:b w:val="1"/>
              <w:color w:val="4955ff"/>
              <w:sz w:val="18"/>
              <w:szCs w:val="18"/>
              <w:rtl w:val="0"/>
            </w:rPr>
            <w:t xml:space="preserve">useme.com</w:t>
          </w:r>
        </w:p>
      </w:tc>
    </w:tr>
  </w:tbl>
  <w:p w:rsidR="00000000" w:rsidDel="00000000" w:rsidP="00000000" w:rsidRDefault="00000000" w:rsidRPr="00000000" w14:paraId="0000001F">
    <w:pPr>
      <w:spacing w:line="240" w:lineRule="auto"/>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5">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A">
    <w:pPr>
      <w:rPr/>
    </w:pPr>
    <w:r w:rsidDel="00000000" w:rsidR="00000000" w:rsidRPr="00000000">
      <w:rPr/>
      <w:drawing>
        <wp:inline distB="114300" distT="114300" distL="114300" distR="114300">
          <wp:extent cx="5731200" cy="5080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731200" cy="508000"/>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0">
    <w:pPr>
      <w:jc w:val="left"/>
      <w:rPr/>
    </w:pPr>
    <w:r w:rsidDel="00000000" w:rsidR="00000000" w:rsidRPr="00000000">
      <w:rPr>
        <w:rtl w:val="0"/>
      </w:rPr>
    </w:r>
  </w:p>
  <w:tbl>
    <w:tblPr>
      <w:tblStyle w:val="Table2"/>
      <w:tblW w:w="9252.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00"/>
      <w:gridCol w:w="4752.000000000001"/>
      <w:tblGridChange w:id="0">
        <w:tblGrid>
          <w:gridCol w:w="4500"/>
          <w:gridCol w:w="4752.000000000001"/>
        </w:tblGrid>
      </w:tblGridChange>
    </w:tblGrid>
    <w:tr>
      <w:trPr>
        <w:cantSplit w:val="0"/>
        <w:trHeight w:val="993.6000000000001" w:hRule="atLeast"/>
        <w:tblHeader w:val="0"/>
      </w:trP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drawing>
              <wp:inline distB="114300" distT="114300" distL="114300" distR="114300">
                <wp:extent cx="1228725" cy="619125"/>
                <wp:effectExtent b="0" l="0" r="0" t="0"/>
                <wp:docPr id="2" name="image2.png"/>
                <a:graphic>
                  <a:graphicData uri="http://schemas.openxmlformats.org/drawingml/2006/picture">
                    <pic:pic>
                      <pic:nvPicPr>
                        <pic:cNvPr id="0" name="image2.png"/>
                        <pic:cNvPicPr preferRelativeResize="0"/>
                      </pic:nvPicPr>
                      <pic:blipFill>
                        <a:blip r:embed="rId1"/>
                        <a:srcRect b="0" l="0" r="78571" t="0"/>
                        <a:stretch>
                          <a:fillRect/>
                        </a:stretch>
                      </pic:blipFill>
                      <pic:spPr>
                        <a:xfrm>
                          <a:off x="0" y="0"/>
                          <a:ext cx="1228725" cy="619125"/>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pPr>
          <w:r w:rsidDel="00000000" w:rsidR="00000000" w:rsidRPr="00000000">
            <w:rPr>
              <w:rFonts w:ascii="PT Sans" w:cs="PT Sans" w:eastAsia="PT Sans" w:hAnsi="PT Sans"/>
              <w:i w:val="1"/>
              <w:color w:val="787b93"/>
              <w:sz w:val="18"/>
              <w:szCs w:val="18"/>
              <w:rtl w:val="0"/>
            </w:rPr>
            <w:t xml:space="preserve">17 mar 2025</w:t>
          </w:r>
          <w:r w:rsidDel="00000000" w:rsidR="00000000" w:rsidRPr="00000000">
            <w:rPr>
              <w:rtl w:val="0"/>
            </w:rPr>
          </w:r>
        </w:p>
      </w:tc>
    </w:tr>
  </w:tbl>
  <w:p w:rsidR="00000000" w:rsidDel="00000000" w:rsidP="00000000" w:rsidRDefault="00000000" w:rsidRPr="00000000" w14:paraId="00000024">
    <w:pPr>
      <w:jc w:val="left"/>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Lato" w:cs="Lato" w:eastAsia="Lato" w:hAnsi="Lato"/>
        <w:lang w:val="pl"/>
      </w:rPr>
    </w:rPrDefault>
    <w:pPrDefault>
      <w:pPr>
        <w:spacing w:after="320" w:line="36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rFonts w:ascii="PT Sans" w:cs="PT Sans" w:eastAsia="PT Sans" w:hAnsi="PT Sans"/>
      <w:b w:val="1"/>
      <w:color w:val="303458"/>
      <w:sz w:val="28"/>
      <w:szCs w:val="28"/>
    </w:rPr>
  </w:style>
  <w:style w:type="paragraph" w:styleId="Heading2">
    <w:name w:val="heading 2"/>
    <w:basedOn w:val="Normal"/>
    <w:next w:val="Normal"/>
    <w:pPr>
      <w:keepNext w:val="1"/>
      <w:keepLines w:val="1"/>
      <w:spacing w:after="120" w:before="360" w:lineRule="auto"/>
    </w:pPr>
    <w:rPr>
      <w:rFonts w:ascii="PT Sans" w:cs="PT Sans" w:eastAsia="PT Sans" w:hAnsi="PT Sans"/>
      <w:b w:val="1"/>
      <w:color w:val="303458"/>
      <w:sz w:val="24"/>
      <w:szCs w:val="24"/>
    </w:rPr>
  </w:style>
  <w:style w:type="paragraph" w:styleId="Heading3">
    <w:name w:val="heading 3"/>
    <w:basedOn w:val="Normal"/>
    <w:next w:val="Normal"/>
    <w:pPr>
      <w:keepNext w:val="1"/>
      <w:keepLines w:val="1"/>
      <w:spacing w:after="80" w:before="320" w:lineRule="auto"/>
    </w:pPr>
    <w:rPr>
      <w:b w:val="1"/>
      <w:color w:val="434343"/>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spacing w:after="60" w:lineRule="auto"/>
    </w:pPr>
    <w:rPr>
      <w:rFonts w:ascii="PT Sans" w:cs="PT Sans" w:eastAsia="PT Sans" w:hAnsi="PT Sans"/>
      <w:b w:val="1"/>
      <w:color w:val="303458"/>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mailto:paulina.bartkowska@goodonepr.pl" TargetMode="Externa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Lato-regular.ttf"/><Relationship Id="rId2" Type="http://schemas.openxmlformats.org/officeDocument/2006/relationships/font" Target="fonts/Lato-bold.ttf"/><Relationship Id="rId3" Type="http://schemas.openxmlformats.org/officeDocument/2006/relationships/font" Target="fonts/Lato-italic.ttf"/><Relationship Id="rId4" Type="http://schemas.openxmlformats.org/officeDocument/2006/relationships/font" Target="fonts/Lato-boldItalic.ttf"/><Relationship Id="rId5" Type="http://schemas.openxmlformats.org/officeDocument/2006/relationships/font" Target="fonts/PTSans-regular.ttf"/><Relationship Id="rId6" Type="http://schemas.openxmlformats.org/officeDocument/2006/relationships/font" Target="fonts/PTSans-bold.ttf"/><Relationship Id="rId7" Type="http://schemas.openxmlformats.org/officeDocument/2006/relationships/font" Target="fonts/PTSans-italic.ttf"/><Relationship Id="rId8" Type="http://schemas.openxmlformats.org/officeDocument/2006/relationships/font" Target="fonts/PT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