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22670D" w14:textId="77777777" w:rsidR="00BE6A25" w:rsidRPr="00E75D6B" w:rsidRDefault="00BE6A25" w:rsidP="00BE6A25">
      <w:pPr>
        <w:rPr>
          <w:rFonts w:ascii="Noto Sans" w:hAnsi="Noto Sans" w:cs="Noto Sans"/>
          <w:b/>
          <w:bCs/>
        </w:rPr>
      </w:pPr>
      <w:r w:rsidRPr="00E75D6B">
        <w:rPr>
          <w:rFonts w:ascii="Noto Sans" w:hAnsi="Noto Sans" w:cs="Noto Sans"/>
          <w:b/>
          <w:bCs/>
        </w:rPr>
        <w:t>Environmental Sustainability in Manufacturing: Aligning Commitments</w:t>
      </w:r>
    </w:p>
    <w:p w14:paraId="1DD82E46" w14:textId="77777777" w:rsidR="00BE6A25" w:rsidRPr="00E75D6B" w:rsidRDefault="00BE6A25" w:rsidP="00BE6A25">
      <w:pPr>
        <w:rPr>
          <w:rFonts w:ascii="Noto Sans" w:hAnsi="Noto Sans" w:cs="Noto Sans"/>
          <w:sz w:val="20"/>
          <w:szCs w:val="20"/>
        </w:rPr>
      </w:pPr>
    </w:p>
    <w:p w14:paraId="0973F106" w14:textId="77777777" w:rsidR="00BE6A25" w:rsidRPr="00E75D6B" w:rsidRDefault="00BE6A25" w:rsidP="00BE6A25">
      <w:pPr>
        <w:rPr>
          <w:rFonts w:ascii="Noto Sans" w:hAnsi="Noto Sans" w:cs="Noto Sans"/>
          <w:i/>
          <w:iCs/>
          <w:sz w:val="20"/>
          <w:szCs w:val="20"/>
        </w:rPr>
      </w:pPr>
      <w:r w:rsidRPr="00E75D6B">
        <w:rPr>
          <w:rFonts w:ascii="Noto Sans" w:hAnsi="Noto Sans" w:cs="Noto Sans"/>
          <w:i/>
          <w:iCs/>
          <w:sz w:val="20"/>
          <w:szCs w:val="20"/>
        </w:rPr>
        <w:t xml:space="preserve">As the global focus on environmental sustainability intensifies, the manufacturing industry finds itself at a critical juncture. Worldwide, the industry is a significant contributor to greenhouse gas (GHG) emissions, accounting for roughly </w:t>
      </w:r>
      <w:hyperlink r:id="rId7" w:anchor=":~:text=The%20manufacturing%20sector's%20direct%20carbon,immediate%20impact%20of%20industrial%20processes." w:history="1">
        <w:r w:rsidRPr="00E75D6B">
          <w:rPr>
            <w:rStyle w:val="Hyperlink"/>
            <w:rFonts w:ascii="Noto Sans" w:hAnsi="Noto Sans" w:cs="Noto Sans"/>
            <w:i/>
            <w:iCs/>
            <w:sz w:val="20"/>
            <w:szCs w:val="20"/>
          </w:rPr>
          <w:t>a quarter of global emissions</w:t>
        </w:r>
      </w:hyperlink>
      <w:r w:rsidRPr="00E75D6B">
        <w:rPr>
          <w:rFonts w:ascii="Noto Sans" w:hAnsi="Noto Sans" w:cs="Noto Sans"/>
          <w:i/>
          <w:iCs/>
          <w:sz w:val="20"/>
          <w:szCs w:val="20"/>
        </w:rPr>
        <w:t xml:space="preserve">. </w:t>
      </w:r>
    </w:p>
    <w:p w14:paraId="3FF2327F" w14:textId="77777777" w:rsidR="00BE6A25" w:rsidRPr="00E75D6B" w:rsidRDefault="00BE6A25" w:rsidP="00BE6A25">
      <w:pPr>
        <w:rPr>
          <w:rFonts w:ascii="Noto Sans" w:hAnsi="Noto Sans" w:cs="Noto Sans"/>
          <w:i/>
          <w:iCs/>
          <w:sz w:val="20"/>
          <w:szCs w:val="20"/>
        </w:rPr>
      </w:pPr>
    </w:p>
    <w:p w14:paraId="4987F845" w14:textId="77777777" w:rsidR="00BE6A25" w:rsidRPr="00E75D6B" w:rsidRDefault="00BE6A25" w:rsidP="00BE6A25">
      <w:pPr>
        <w:rPr>
          <w:rFonts w:ascii="Noto Sans" w:hAnsi="Noto Sans" w:cs="Noto Sans"/>
          <w:i/>
          <w:iCs/>
          <w:sz w:val="20"/>
          <w:szCs w:val="20"/>
        </w:rPr>
      </w:pPr>
      <w:r w:rsidRPr="00E75D6B">
        <w:rPr>
          <w:rFonts w:ascii="Noto Sans" w:hAnsi="Noto Sans" w:cs="Noto Sans"/>
          <w:i/>
          <w:iCs/>
          <w:sz w:val="20"/>
          <w:szCs w:val="20"/>
        </w:rPr>
        <w:t>At the company level, taking steps to reduce emissions is crucial to meeting global climate targets, ensuring long-term competitiveness and sustainable development, and staying compliant with existing and future legislation. Yet, the nuances are complex and understanding the interplay between different types of emissions across the supply chain is essential for driving meaningful and sustainable change.</w:t>
      </w:r>
    </w:p>
    <w:p w14:paraId="004C4982" w14:textId="77777777" w:rsidR="00BE6A25" w:rsidRPr="00E75D6B" w:rsidRDefault="00BE6A25" w:rsidP="00BE6A25">
      <w:pPr>
        <w:rPr>
          <w:rFonts w:ascii="Noto Sans" w:hAnsi="Noto Sans" w:cs="Noto Sans"/>
          <w:i/>
          <w:iCs/>
          <w:sz w:val="20"/>
          <w:szCs w:val="20"/>
        </w:rPr>
      </w:pPr>
    </w:p>
    <w:p w14:paraId="09ACBCEC" w14:textId="5EC4258F" w:rsidR="00BE6A25" w:rsidRPr="00E75D6B" w:rsidRDefault="00BE6A25" w:rsidP="00BE6A25">
      <w:pPr>
        <w:rPr>
          <w:rFonts w:ascii="Noto Sans" w:hAnsi="Noto Sans" w:cs="Noto Sans"/>
          <w:i/>
          <w:iCs/>
          <w:sz w:val="20"/>
          <w:szCs w:val="20"/>
        </w:rPr>
      </w:pPr>
      <w:r w:rsidRPr="00E75D6B">
        <w:rPr>
          <w:rFonts w:ascii="Noto Sans" w:hAnsi="Noto Sans" w:cs="Noto Sans"/>
          <w:i/>
          <w:iCs/>
          <w:sz w:val="20"/>
          <w:szCs w:val="20"/>
        </w:rPr>
        <w:t xml:space="preserve">Thomas Guerriero, Group Customer CSR Manager, </w:t>
      </w:r>
      <w:hyperlink r:id="rId8" w:history="1">
        <w:r w:rsidRPr="00E75D6B">
          <w:rPr>
            <w:rStyle w:val="Hyperlink"/>
            <w:rFonts w:ascii="Noto Sans" w:hAnsi="Noto Sans" w:cs="Noto Sans"/>
            <w:i/>
            <w:iCs/>
            <w:sz w:val="20"/>
            <w:szCs w:val="20"/>
          </w:rPr>
          <w:t>Domino Printing Sciences</w:t>
        </w:r>
      </w:hyperlink>
      <w:r w:rsidRPr="00E75D6B">
        <w:rPr>
          <w:rFonts w:ascii="Noto Sans" w:hAnsi="Noto Sans" w:cs="Noto Sans"/>
          <w:i/>
          <w:iCs/>
          <w:sz w:val="20"/>
          <w:szCs w:val="20"/>
        </w:rPr>
        <w:t xml:space="preserve">, outlines the interconnection between the environmental sustainability goals of production machinery manufacturers and their manufacturing customers and examines the ways organisations can work together to have a net-positive contribution to minimising GHG emissions. </w:t>
      </w:r>
    </w:p>
    <w:p w14:paraId="42D86228" w14:textId="77777777" w:rsidR="00BE6A25" w:rsidRPr="00E75D6B" w:rsidRDefault="00BE6A25" w:rsidP="00BE6A25">
      <w:pPr>
        <w:rPr>
          <w:rFonts w:ascii="Noto Sans" w:hAnsi="Noto Sans" w:cs="Noto Sans"/>
          <w:i/>
          <w:iCs/>
          <w:sz w:val="20"/>
          <w:szCs w:val="20"/>
        </w:rPr>
      </w:pPr>
    </w:p>
    <w:p w14:paraId="023A7822" w14:textId="77777777" w:rsidR="00BE6A25" w:rsidRPr="00E75D6B" w:rsidRDefault="00BE6A25" w:rsidP="00BE6A25">
      <w:pPr>
        <w:rPr>
          <w:rFonts w:ascii="Noto Sans" w:hAnsi="Noto Sans" w:cs="Noto Sans"/>
          <w:b/>
          <w:bCs/>
          <w:sz w:val="20"/>
          <w:szCs w:val="20"/>
        </w:rPr>
      </w:pPr>
      <w:r w:rsidRPr="00E75D6B">
        <w:rPr>
          <w:rFonts w:ascii="Noto Sans" w:hAnsi="Noto Sans" w:cs="Noto Sans"/>
          <w:b/>
          <w:bCs/>
          <w:sz w:val="20"/>
          <w:szCs w:val="20"/>
        </w:rPr>
        <w:t xml:space="preserve">Aligning sustainability commitments </w:t>
      </w:r>
    </w:p>
    <w:p w14:paraId="181F7237" w14:textId="77777777" w:rsidR="00BE6A25" w:rsidRPr="00E75D6B" w:rsidRDefault="00BE6A25" w:rsidP="00BE6A25">
      <w:pPr>
        <w:rPr>
          <w:rFonts w:ascii="Noto Sans" w:hAnsi="Noto Sans" w:cs="Noto Sans"/>
          <w:sz w:val="20"/>
          <w:szCs w:val="20"/>
        </w:rPr>
      </w:pPr>
      <w:r w:rsidRPr="00E75D6B">
        <w:rPr>
          <w:rFonts w:ascii="Noto Sans" w:hAnsi="Noto Sans" w:cs="Noto Sans"/>
          <w:sz w:val="20"/>
          <w:szCs w:val="20"/>
        </w:rPr>
        <w:t>The environmental performance of a production machinery manufacturer will ultimately also influence the environmental performance of their manufacturing customers (e.g. FMCG or brand manufacturers), and vice versa. As such, improvements in environmental performance will necessitate collaboration up and down the supply chain to align commitments.</w:t>
      </w:r>
    </w:p>
    <w:p w14:paraId="096D74DD" w14:textId="77777777" w:rsidR="00BE6A25" w:rsidRPr="00E75D6B" w:rsidRDefault="00BE6A25" w:rsidP="00BE6A25">
      <w:pPr>
        <w:rPr>
          <w:rFonts w:ascii="Noto Sans" w:hAnsi="Noto Sans" w:cs="Noto Sans"/>
          <w:sz w:val="20"/>
          <w:szCs w:val="20"/>
        </w:rPr>
      </w:pPr>
    </w:p>
    <w:p w14:paraId="4728F456" w14:textId="77777777" w:rsidR="00BE6A25" w:rsidRPr="00E75D6B" w:rsidRDefault="00BE6A25" w:rsidP="00BE6A25">
      <w:pPr>
        <w:rPr>
          <w:rFonts w:ascii="Noto Sans" w:hAnsi="Noto Sans" w:cs="Noto Sans"/>
          <w:sz w:val="20"/>
          <w:szCs w:val="20"/>
        </w:rPr>
      </w:pPr>
      <w:r w:rsidRPr="00E75D6B">
        <w:rPr>
          <w:rFonts w:ascii="Noto Sans" w:hAnsi="Noto Sans" w:cs="Noto Sans"/>
          <w:sz w:val="20"/>
          <w:szCs w:val="20"/>
        </w:rPr>
        <w:t>So, what steps can machinery manufacturers take to help align these commitments and create a more environmentally sustainable future?</w:t>
      </w:r>
    </w:p>
    <w:p w14:paraId="09326DF9" w14:textId="77777777" w:rsidR="00BE6A25" w:rsidRPr="00E75D6B" w:rsidRDefault="00BE6A25" w:rsidP="00BE6A25">
      <w:pPr>
        <w:rPr>
          <w:rFonts w:ascii="Noto Sans" w:hAnsi="Noto Sans" w:cs="Noto Sans"/>
          <w:sz w:val="20"/>
          <w:szCs w:val="20"/>
        </w:rPr>
      </w:pPr>
    </w:p>
    <w:p w14:paraId="6EB19E0E" w14:textId="77777777" w:rsidR="00BE6A25" w:rsidRPr="00E75D6B" w:rsidRDefault="00BE6A25" w:rsidP="00BE6A25">
      <w:pPr>
        <w:rPr>
          <w:rFonts w:ascii="Noto Sans" w:hAnsi="Noto Sans" w:cs="Noto Sans"/>
          <w:b/>
          <w:bCs/>
          <w:sz w:val="20"/>
          <w:szCs w:val="20"/>
        </w:rPr>
      </w:pPr>
      <w:r w:rsidRPr="00E75D6B">
        <w:rPr>
          <w:rFonts w:ascii="Noto Sans" w:hAnsi="Noto Sans" w:cs="Noto Sans"/>
          <w:b/>
          <w:bCs/>
          <w:sz w:val="20"/>
          <w:szCs w:val="20"/>
        </w:rPr>
        <w:t>Developing more sustainable machinery</w:t>
      </w:r>
    </w:p>
    <w:p w14:paraId="2F096C8F" w14:textId="77777777" w:rsidR="00BE6A25" w:rsidRPr="00E75D6B" w:rsidRDefault="00BE6A25" w:rsidP="00BE6A25">
      <w:pPr>
        <w:rPr>
          <w:rFonts w:ascii="Noto Sans" w:hAnsi="Noto Sans" w:cs="Noto Sans"/>
          <w:sz w:val="20"/>
          <w:szCs w:val="20"/>
        </w:rPr>
      </w:pPr>
      <w:r w:rsidRPr="00E75D6B">
        <w:rPr>
          <w:rFonts w:ascii="Noto Sans" w:hAnsi="Noto Sans" w:cs="Noto Sans"/>
          <w:sz w:val="20"/>
          <w:szCs w:val="20"/>
        </w:rPr>
        <w:t>Production machinery and equipment have a direct impact on FMCG manufacturers’ GHG emissions. There are several strategies machinery manufacturers can adopt and embed within their design processes to create more sustainable products and support their customers’ sustainability goals:</w:t>
      </w:r>
    </w:p>
    <w:p w14:paraId="17966BF7" w14:textId="77777777" w:rsidR="00BE6A25" w:rsidRPr="00E75D6B" w:rsidRDefault="00BE6A25" w:rsidP="00BE6A25">
      <w:pPr>
        <w:rPr>
          <w:rFonts w:ascii="Noto Sans" w:hAnsi="Noto Sans" w:cs="Noto Sans"/>
          <w:sz w:val="20"/>
          <w:szCs w:val="20"/>
        </w:rPr>
      </w:pPr>
    </w:p>
    <w:p w14:paraId="00B8972F" w14:textId="77777777" w:rsidR="00BE6A25" w:rsidRPr="00E75D6B" w:rsidRDefault="00BE6A25" w:rsidP="00BE6A25">
      <w:pPr>
        <w:pStyle w:val="ListParagraph"/>
        <w:numPr>
          <w:ilvl w:val="0"/>
          <w:numId w:val="1"/>
        </w:numPr>
        <w:rPr>
          <w:rFonts w:ascii="Noto Sans" w:hAnsi="Noto Sans" w:cs="Noto Sans"/>
          <w:sz w:val="20"/>
          <w:szCs w:val="20"/>
        </w:rPr>
      </w:pPr>
      <w:r w:rsidRPr="00E75D6B">
        <w:rPr>
          <w:rFonts w:ascii="Noto Sans" w:hAnsi="Noto Sans" w:cs="Noto Sans"/>
          <w:sz w:val="20"/>
          <w:szCs w:val="20"/>
        </w:rPr>
        <w:t xml:space="preserve">Responsible material sourcing: Ensure that machinery is designed to optimise the use of recycled and recyclable materials in product development and packaging. With the upcoming </w:t>
      </w:r>
      <w:hyperlink r:id="rId9" w:history="1">
        <w:r w:rsidRPr="00E75D6B">
          <w:rPr>
            <w:rStyle w:val="Hyperlink"/>
            <w:rFonts w:ascii="Noto Sans" w:hAnsi="Noto Sans" w:cs="Noto Sans"/>
            <w:sz w:val="20"/>
            <w:szCs w:val="20"/>
          </w:rPr>
          <w:t>EU Deforestation Regulation</w:t>
        </w:r>
      </w:hyperlink>
      <w:r w:rsidRPr="00E75D6B">
        <w:rPr>
          <w:rFonts w:ascii="Noto Sans" w:hAnsi="Noto Sans" w:cs="Noto Sans"/>
          <w:sz w:val="20"/>
          <w:szCs w:val="20"/>
        </w:rPr>
        <w:t>,</w:t>
      </w:r>
      <w:r w:rsidRPr="00E75D6B" w:rsidDel="00716282">
        <w:rPr>
          <w:rFonts w:ascii="Noto Sans" w:hAnsi="Noto Sans" w:cs="Noto Sans"/>
          <w:sz w:val="20"/>
          <w:szCs w:val="20"/>
        </w:rPr>
        <w:t xml:space="preserve"> </w:t>
      </w:r>
      <w:r w:rsidRPr="00E75D6B">
        <w:rPr>
          <w:rFonts w:ascii="Noto Sans" w:hAnsi="Noto Sans" w:cs="Noto Sans"/>
          <w:sz w:val="20"/>
          <w:szCs w:val="20"/>
        </w:rPr>
        <w:t>machinery manufacturers must ensure they are contributing to responsible sourcing, particularly for packaging materials like pulp and paper.</w:t>
      </w:r>
    </w:p>
    <w:p w14:paraId="448C9F3F" w14:textId="77777777" w:rsidR="00BE6A25" w:rsidRPr="00E75D6B" w:rsidRDefault="00BE6A25" w:rsidP="00BE6A25">
      <w:pPr>
        <w:rPr>
          <w:rFonts w:ascii="Noto Sans" w:hAnsi="Noto Sans" w:cs="Noto Sans"/>
          <w:sz w:val="20"/>
          <w:szCs w:val="20"/>
        </w:rPr>
      </w:pPr>
    </w:p>
    <w:p w14:paraId="61C5FE11" w14:textId="77777777" w:rsidR="00BE6A25" w:rsidRPr="00E75D6B" w:rsidRDefault="00BE6A25" w:rsidP="00BE6A25">
      <w:pPr>
        <w:pStyle w:val="ListParagraph"/>
        <w:numPr>
          <w:ilvl w:val="0"/>
          <w:numId w:val="1"/>
        </w:numPr>
        <w:rPr>
          <w:rFonts w:ascii="Noto Sans" w:hAnsi="Noto Sans" w:cs="Noto Sans"/>
          <w:sz w:val="20"/>
          <w:szCs w:val="20"/>
        </w:rPr>
      </w:pPr>
      <w:r w:rsidRPr="00E75D6B">
        <w:rPr>
          <w:rFonts w:ascii="Noto Sans" w:hAnsi="Noto Sans" w:cs="Noto Sans"/>
          <w:sz w:val="20"/>
          <w:szCs w:val="20"/>
        </w:rPr>
        <w:t>Energy efficiency: Identify opportunities to reduce energy consumption during machinery operation. For example, designing equipment with modern electric drive systems in place of pneumatic systems, or which do not require additional factory air for cooling, can substantially lower energy use.</w:t>
      </w:r>
    </w:p>
    <w:p w14:paraId="03B0B0BD" w14:textId="77777777" w:rsidR="00BE6A25" w:rsidRPr="00E75D6B" w:rsidRDefault="00BE6A25" w:rsidP="00BE6A25">
      <w:pPr>
        <w:rPr>
          <w:rFonts w:ascii="Noto Sans" w:hAnsi="Noto Sans" w:cs="Noto Sans"/>
          <w:sz w:val="20"/>
          <w:szCs w:val="20"/>
        </w:rPr>
      </w:pPr>
    </w:p>
    <w:p w14:paraId="2C78FEFB" w14:textId="77777777" w:rsidR="00BE6A25" w:rsidRPr="00E75D6B" w:rsidRDefault="00BE6A25" w:rsidP="00BE6A25">
      <w:pPr>
        <w:pStyle w:val="ListParagraph"/>
        <w:numPr>
          <w:ilvl w:val="0"/>
          <w:numId w:val="1"/>
        </w:numPr>
        <w:rPr>
          <w:rFonts w:ascii="Noto Sans" w:hAnsi="Noto Sans" w:cs="Noto Sans"/>
          <w:sz w:val="20"/>
          <w:szCs w:val="20"/>
        </w:rPr>
      </w:pPr>
      <w:r w:rsidRPr="00E75D6B">
        <w:rPr>
          <w:rFonts w:ascii="Noto Sans" w:hAnsi="Noto Sans" w:cs="Noto Sans"/>
          <w:sz w:val="20"/>
          <w:szCs w:val="20"/>
        </w:rPr>
        <w:lastRenderedPageBreak/>
        <w:t>Longevity in design: Develop robust machinery designed for durability. The longer a product remains in the field, the more embedded emissions can be spread over its operational lifespan, thus lowering overall impact.</w:t>
      </w:r>
    </w:p>
    <w:p w14:paraId="38DA9F21" w14:textId="77777777" w:rsidR="00BE6A25" w:rsidRPr="00E75D6B" w:rsidRDefault="00BE6A25" w:rsidP="00BE6A25">
      <w:pPr>
        <w:rPr>
          <w:rFonts w:ascii="Noto Sans" w:hAnsi="Noto Sans" w:cs="Noto Sans"/>
          <w:sz w:val="20"/>
          <w:szCs w:val="20"/>
        </w:rPr>
      </w:pPr>
    </w:p>
    <w:p w14:paraId="36177474" w14:textId="77777777" w:rsidR="00BE6A25" w:rsidRPr="00E75D6B" w:rsidRDefault="00BE6A25" w:rsidP="00BE6A25">
      <w:pPr>
        <w:pStyle w:val="ListParagraph"/>
        <w:numPr>
          <w:ilvl w:val="0"/>
          <w:numId w:val="1"/>
        </w:numPr>
        <w:rPr>
          <w:rFonts w:ascii="Noto Sans" w:hAnsi="Noto Sans" w:cs="Noto Sans"/>
          <w:sz w:val="20"/>
          <w:szCs w:val="20"/>
        </w:rPr>
      </w:pPr>
      <w:r w:rsidRPr="00E75D6B">
        <w:rPr>
          <w:rFonts w:ascii="Noto Sans" w:hAnsi="Noto Sans" w:cs="Noto Sans"/>
          <w:sz w:val="20"/>
          <w:szCs w:val="20"/>
        </w:rPr>
        <w:t>Data-driven design: Equip production line machinery with smart technology to provide FMCG manufacturers with insights on energy consumption relative to production output. This data can help businesses identify inefficiencies and provide insight (for both machinery manufacturers, and their FMCG-manufacturing customers) on ways to optimise manufacturing operations for the future.</w:t>
      </w:r>
    </w:p>
    <w:p w14:paraId="3CDB5A36" w14:textId="77777777" w:rsidR="00BE6A25" w:rsidRPr="00E75D6B" w:rsidRDefault="00BE6A25" w:rsidP="00BE6A25">
      <w:pPr>
        <w:rPr>
          <w:rFonts w:ascii="Noto Sans" w:hAnsi="Noto Sans" w:cs="Noto Sans"/>
          <w:sz w:val="20"/>
          <w:szCs w:val="20"/>
        </w:rPr>
      </w:pPr>
    </w:p>
    <w:p w14:paraId="46209BD0" w14:textId="77777777" w:rsidR="00BE6A25" w:rsidRPr="00E75D6B" w:rsidRDefault="00BE6A25" w:rsidP="00BE6A25">
      <w:pPr>
        <w:rPr>
          <w:rFonts w:ascii="Noto Sans" w:hAnsi="Noto Sans" w:cs="Noto Sans"/>
          <w:b/>
          <w:bCs/>
          <w:sz w:val="20"/>
          <w:szCs w:val="20"/>
        </w:rPr>
      </w:pPr>
      <w:r w:rsidRPr="00E75D6B">
        <w:rPr>
          <w:rFonts w:ascii="Noto Sans" w:hAnsi="Noto Sans" w:cs="Noto Sans"/>
          <w:b/>
          <w:bCs/>
          <w:sz w:val="20"/>
          <w:szCs w:val="20"/>
        </w:rPr>
        <w:t>Reducing waste in the factory and beyond</w:t>
      </w:r>
    </w:p>
    <w:p w14:paraId="6C065E5D" w14:textId="77777777" w:rsidR="00BE6A25" w:rsidRPr="00E75D6B" w:rsidRDefault="00BE6A25" w:rsidP="00BE6A25">
      <w:pPr>
        <w:rPr>
          <w:rFonts w:ascii="Noto Sans" w:hAnsi="Noto Sans" w:cs="Noto Sans"/>
          <w:sz w:val="20"/>
          <w:szCs w:val="20"/>
        </w:rPr>
      </w:pPr>
      <w:r w:rsidRPr="00E75D6B">
        <w:rPr>
          <w:rFonts w:ascii="Noto Sans" w:hAnsi="Noto Sans" w:cs="Noto Sans"/>
          <w:sz w:val="20"/>
          <w:szCs w:val="20"/>
        </w:rPr>
        <w:t>Machinery manufacturers can also play a role in minimising waste generated at customer FMCG manufacturing sites, from original machinery and consumables packaging to production line waste from product packaging materials. The following strategies can help reduce waste production:</w:t>
      </w:r>
    </w:p>
    <w:p w14:paraId="4B5F13E4" w14:textId="77777777" w:rsidR="00BE6A25" w:rsidRPr="00E75D6B" w:rsidRDefault="00BE6A25" w:rsidP="00BE6A25">
      <w:pPr>
        <w:rPr>
          <w:rFonts w:ascii="Noto Sans" w:hAnsi="Noto Sans" w:cs="Noto Sans"/>
          <w:sz w:val="20"/>
          <w:szCs w:val="20"/>
        </w:rPr>
      </w:pPr>
    </w:p>
    <w:p w14:paraId="198AE048" w14:textId="77777777" w:rsidR="00BE6A25" w:rsidRPr="00E75D6B" w:rsidRDefault="00BE6A25" w:rsidP="00BE6A25">
      <w:pPr>
        <w:pStyle w:val="ListParagraph"/>
        <w:numPr>
          <w:ilvl w:val="0"/>
          <w:numId w:val="2"/>
        </w:numPr>
        <w:rPr>
          <w:rFonts w:ascii="Noto Sans" w:hAnsi="Noto Sans" w:cs="Noto Sans"/>
          <w:sz w:val="20"/>
          <w:szCs w:val="20"/>
        </w:rPr>
      </w:pPr>
      <w:r w:rsidRPr="00E75D6B">
        <w:rPr>
          <w:rFonts w:ascii="Noto Sans" w:hAnsi="Noto Sans" w:cs="Noto Sans"/>
          <w:sz w:val="20"/>
          <w:szCs w:val="20"/>
        </w:rPr>
        <w:t xml:space="preserve">Innovative packaging solutions: Collaborate with FMCG manufacturers to develop machinery capable of processing recyclable, compostable, or refillable materials. This proactive approach can help FMCG manufacturers to address consumer demand for sustainability – </w:t>
      </w:r>
      <w:hyperlink r:id="rId10" w:history="1">
        <w:r w:rsidRPr="00E75D6B">
          <w:rPr>
            <w:rStyle w:val="Hyperlink"/>
            <w:rFonts w:ascii="Noto Sans" w:hAnsi="Noto Sans" w:cs="Noto Sans"/>
            <w:sz w:val="20"/>
            <w:szCs w:val="20"/>
          </w:rPr>
          <w:t>55% of consumers prioritise environmental responsibility in brand choice</w:t>
        </w:r>
      </w:hyperlink>
      <w:r w:rsidRPr="00E75D6B">
        <w:rPr>
          <w:rFonts w:ascii="Noto Sans" w:hAnsi="Noto Sans" w:cs="Noto Sans"/>
          <w:sz w:val="20"/>
          <w:szCs w:val="20"/>
        </w:rPr>
        <w:t xml:space="preserve"> – and can also support the circular economy by helping to reduce downstream waste.</w:t>
      </w:r>
    </w:p>
    <w:p w14:paraId="7FCAE472" w14:textId="77777777" w:rsidR="00BE6A25" w:rsidRPr="00E75D6B" w:rsidRDefault="00BE6A25" w:rsidP="00BE6A25">
      <w:pPr>
        <w:rPr>
          <w:rFonts w:ascii="Noto Sans" w:hAnsi="Noto Sans" w:cs="Noto Sans"/>
          <w:sz w:val="20"/>
          <w:szCs w:val="20"/>
        </w:rPr>
      </w:pPr>
    </w:p>
    <w:p w14:paraId="25AAF5C2" w14:textId="77777777" w:rsidR="00BE6A25" w:rsidRPr="00E75D6B" w:rsidRDefault="00BE6A25" w:rsidP="00BE6A25">
      <w:pPr>
        <w:pStyle w:val="ListParagraph"/>
        <w:numPr>
          <w:ilvl w:val="0"/>
          <w:numId w:val="2"/>
        </w:numPr>
        <w:rPr>
          <w:rFonts w:ascii="Noto Sans" w:hAnsi="Noto Sans" w:cs="Noto Sans"/>
          <w:sz w:val="20"/>
          <w:szCs w:val="20"/>
        </w:rPr>
      </w:pPr>
      <w:r w:rsidRPr="00E75D6B">
        <w:rPr>
          <w:rFonts w:ascii="Noto Sans" w:hAnsi="Noto Sans" w:cs="Noto Sans"/>
          <w:sz w:val="20"/>
          <w:szCs w:val="20"/>
        </w:rPr>
        <w:t>Efficient manufacturing processes: Design machinery that supports waste reduction efforts during manufacturing. Late-stage customisation using coding and marking equipment can help to reduce packaging waste from overstock, for example. At the same time, efficient material usage in product design can also significantly reduce excess waste.</w:t>
      </w:r>
    </w:p>
    <w:p w14:paraId="2AA2CF32" w14:textId="77777777" w:rsidR="00BE6A25" w:rsidRPr="00E75D6B" w:rsidRDefault="00BE6A25" w:rsidP="00BE6A25">
      <w:pPr>
        <w:rPr>
          <w:rFonts w:ascii="Noto Sans" w:hAnsi="Noto Sans" w:cs="Noto Sans"/>
          <w:sz w:val="20"/>
          <w:szCs w:val="20"/>
        </w:rPr>
      </w:pPr>
    </w:p>
    <w:p w14:paraId="42F38216" w14:textId="77777777" w:rsidR="00BE6A25" w:rsidRPr="00E75D6B" w:rsidRDefault="00BE6A25" w:rsidP="00BE6A25">
      <w:pPr>
        <w:pStyle w:val="ListParagraph"/>
        <w:numPr>
          <w:ilvl w:val="0"/>
          <w:numId w:val="2"/>
        </w:numPr>
        <w:rPr>
          <w:rFonts w:ascii="Noto Sans" w:hAnsi="Noto Sans" w:cs="Noto Sans"/>
          <w:sz w:val="20"/>
          <w:szCs w:val="20"/>
        </w:rPr>
      </w:pPr>
      <w:r w:rsidRPr="00E75D6B">
        <w:rPr>
          <w:rFonts w:ascii="Noto Sans" w:hAnsi="Noto Sans" w:cs="Noto Sans"/>
          <w:sz w:val="20"/>
          <w:szCs w:val="20"/>
        </w:rPr>
        <w:t xml:space="preserve">Reliability, maintenance, and integration: By designing machinery to be reliable and easy to service and maintain, machinery manufacturers can help their customers increase efficiency and uptime. Equally, integrated and automated solutions can reduce the risk of waste due to manual errors by limiting manual steps involved in data entry and production line changeovers. In sectors like dairy, where products have a short shelf life, preventing downtime and eliminating the risk of errors is critical to reducing waste. </w:t>
      </w:r>
    </w:p>
    <w:p w14:paraId="12D2666E" w14:textId="77777777" w:rsidR="00BE6A25" w:rsidRPr="00E75D6B" w:rsidRDefault="00BE6A25" w:rsidP="00BE6A25">
      <w:pPr>
        <w:rPr>
          <w:rFonts w:ascii="Noto Sans" w:hAnsi="Noto Sans" w:cs="Noto Sans"/>
          <w:sz w:val="20"/>
          <w:szCs w:val="20"/>
        </w:rPr>
      </w:pPr>
    </w:p>
    <w:p w14:paraId="2CB034AC" w14:textId="77777777" w:rsidR="00BE6A25" w:rsidRPr="00E75D6B" w:rsidRDefault="00BE6A25" w:rsidP="00BE6A25">
      <w:pPr>
        <w:pStyle w:val="ListParagraph"/>
        <w:numPr>
          <w:ilvl w:val="0"/>
          <w:numId w:val="2"/>
        </w:numPr>
        <w:rPr>
          <w:rFonts w:ascii="Noto Sans" w:hAnsi="Noto Sans" w:cs="Noto Sans"/>
          <w:sz w:val="20"/>
          <w:szCs w:val="20"/>
        </w:rPr>
      </w:pPr>
      <w:r w:rsidRPr="00E75D6B">
        <w:rPr>
          <w:rFonts w:ascii="Noto Sans" w:hAnsi="Noto Sans" w:cs="Noto Sans"/>
          <w:sz w:val="20"/>
          <w:szCs w:val="20"/>
        </w:rPr>
        <w:t>Cloud communications and smart systems: Designing production line machinery with in-built or connected intelligent systems, such as sensors, machine vision systems, and cloud connectivity, can help FMCG manufacturers identify production issues early – whether they might be a calibration, ink, or unscheduled maintenance issue – preventing excess waste due to errors or malfunctions.</w:t>
      </w:r>
    </w:p>
    <w:p w14:paraId="7EE1727D" w14:textId="77777777" w:rsidR="00BE6A25" w:rsidRPr="00E75D6B" w:rsidRDefault="00BE6A25" w:rsidP="00BE6A25">
      <w:pPr>
        <w:rPr>
          <w:rFonts w:ascii="Noto Sans" w:hAnsi="Noto Sans" w:cs="Noto Sans"/>
          <w:sz w:val="20"/>
          <w:szCs w:val="20"/>
        </w:rPr>
      </w:pPr>
    </w:p>
    <w:p w14:paraId="29F2149B" w14:textId="77777777" w:rsidR="00BE6A25" w:rsidRPr="00E75D6B" w:rsidRDefault="00BE6A25" w:rsidP="00BE6A25">
      <w:pPr>
        <w:rPr>
          <w:rFonts w:ascii="Noto Sans" w:hAnsi="Noto Sans" w:cs="Noto Sans"/>
          <w:b/>
          <w:bCs/>
          <w:sz w:val="20"/>
          <w:szCs w:val="20"/>
        </w:rPr>
      </w:pPr>
      <w:r w:rsidRPr="00E75D6B">
        <w:rPr>
          <w:rFonts w:ascii="Noto Sans" w:hAnsi="Noto Sans" w:cs="Noto Sans"/>
          <w:b/>
          <w:bCs/>
          <w:sz w:val="20"/>
          <w:szCs w:val="20"/>
        </w:rPr>
        <w:t>The future of manufacturing: Developing new sustainable business models</w:t>
      </w:r>
    </w:p>
    <w:p w14:paraId="470D4710" w14:textId="77777777" w:rsidR="00BE6A25" w:rsidRPr="00E75D6B" w:rsidRDefault="00BE6A25" w:rsidP="00BE6A25">
      <w:pPr>
        <w:rPr>
          <w:rFonts w:ascii="Noto Sans" w:hAnsi="Noto Sans" w:cs="Noto Sans"/>
          <w:sz w:val="20"/>
          <w:szCs w:val="20"/>
        </w:rPr>
      </w:pPr>
      <w:r w:rsidRPr="00E75D6B">
        <w:rPr>
          <w:rFonts w:ascii="Noto Sans" w:hAnsi="Noto Sans" w:cs="Noto Sans"/>
          <w:sz w:val="20"/>
          <w:szCs w:val="20"/>
        </w:rPr>
        <w:t xml:space="preserve">As the demand for sustainability grows, machinery manufacturers must rethink traditional business models to better align with their FMCG-manufacturing customer commitments. Here </w:t>
      </w:r>
      <w:r w:rsidRPr="00E75D6B">
        <w:rPr>
          <w:rFonts w:ascii="Noto Sans" w:hAnsi="Noto Sans" w:cs="Noto Sans"/>
          <w:sz w:val="20"/>
          <w:szCs w:val="20"/>
        </w:rPr>
        <w:lastRenderedPageBreak/>
        <w:t xml:space="preserve">are some innovative approaches that machinery manufacturers should explore to support this goal: </w:t>
      </w:r>
    </w:p>
    <w:p w14:paraId="636C18F6" w14:textId="77777777" w:rsidR="00BE6A25" w:rsidRPr="00E75D6B" w:rsidRDefault="00BE6A25" w:rsidP="00BE6A25">
      <w:pPr>
        <w:rPr>
          <w:rFonts w:ascii="Noto Sans" w:hAnsi="Noto Sans" w:cs="Noto Sans"/>
          <w:sz w:val="20"/>
          <w:szCs w:val="20"/>
        </w:rPr>
      </w:pPr>
    </w:p>
    <w:p w14:paraId="450681A3" w14:textId="77777777" w:rsidR="00BE6A25" w:rsidRPr="00E75D6B" w:rsidRDefault="00BE6A25" w:rsidP="00BE6A25">
      <w:pPr>
        <w:pStyle w:val="ListParagraph"/>
        <w:numPr>
          <w:ilvl w:val="0"/>
          <w:numId w:val="3"/>
        </w:numPr>
        <w:rPr>
          <w:rFonts w:ascii="Noto Sans" w:hAnsi="Noto Sans" w:cs="Noto Sans"/>
          <w:sz w:val="20"/>
          <w:szCs w:val="20"/>
        </w:rPr>
      </w:pPr>
      <w:r w:rsidRPr="00E75D6B">
        <w:rPr>
          <w:rFonts w:ascii="Noto Sans" w:hAnsi="Noto Sans" w:cs="Noto Sans"/>
          <w:sz w:val="20"/>
          <w:szCs w:val="20"/>
        </w:rPr>
        <w:t>Support for reuse and refurbishment: Develop schemes that facilitate the reuse and refurbishment of older machinery. This not only extends the overall equipment lifecycle but also reduces the need for new resources, minimising environmental impact.</w:t>
      </w:r>
    </w:p>
    <w:p w14:paraId="25A8361D" w14:textId="77777777" w:rsidR="00BE6A25" w:rsidRPr="00E75D6B" w:rsidRDefault="00BE6A25" w:rsidP="00BE6A25">
      <w:pPr>
        <w:rPr>
          <w:rFonts w:ascii="Noto Sans" w:hAnsi="Noto Sans" w:cs="Noto Sans"/>
          <w:sz w:val="20"/>
          <w:szCs w:val="20"/>
        </w:rPr>
      </w:pPr>
    </w:p>
    <w:p w14:paraId="4130BF97" w14:textId="77777777" w:rsidR="00BE6A25" w:rsidRPr="00E75D6B" w:rsidRDefault="00BE6A25" w:rsidP="00BE6A25">
      <w:pPr>
        <w:pStyle w:val="ListParagraph"/>
        <w:numPr>
          <w:ilvl w:val="0"/>
          <w:numId w:val="3"/>
        </w:numPr>
        <w:rPr>
          <w:rFonts w:ascii="Noto Sans" w:hAnsi="Noto Sans" w:cs="Noto Sans"/>
          <w:sz w:val="20"/>
          <w:szCs w:val="20"/>
        </w:rPr>
      </w:pPr>
      <w:r w:rsidRPr="00E75D6B">
        <w:rPr>
          <w:rFonts w:ascii="Noto Sans" w:hAnsi="Noto Sans" w:cs="Noto Sans"/>
          <w:sz w:val="20"/>
          <w:szCs w:val="20"/>
        </w:rPr>
        <w:t>Recycling and refill initiatives: Work with FMCG manufacturers – and the downstream supply chain – to design and implement programmes to support the recycling and refill of consumable products. By actively contributing to a circular economy, machinery manufacturers can help their customers reduce waste and emissions associated with single-use items.</w:t>
      </w:r>
    </w:p>
    <w:p w14:paraId="0632E185" w14:textId="77777777" w:rsidR="00BE6A25" w:rsidRPr="00E75D6B" w:rsidRDefault="00BE6A25" w:rsidP="00BE6A25">
      <w:pPr>
        <w:rPr>
          <w:rFonts w:ascii="Noto Sans" w:hAnsi="Noto Sans" w:cs="Noto Sans"/>
          <w:sz w:val="20"/>
          <w:szCs w:val="20"/>
        </w:rPr>
      </w:pPr>
    </w:p>
    <w:p w14:paraId="690260BD" w14:textId="77777777" w:rsidR="00BE6A25" w:rsidRPr="00E75D6B" w:rsidRDefault="00BE6A25" w:rsidP="00BE6A25">
      <w:pPr>
        <w:pStyle w:val="ListParagraph"/>
        <w:numPr>
          <w:ilvl w:val="0"/>
          <w:numId w:val="3"/>
        </w:numPr>
        <w:rPr>
          <w:rFonts w:ascii="Noto Sans" w:hAnsi="Noto Sans" w:cs="Noto Sans"/>
          <w:sz w:val="20"/>
          <w:szCs w:val="20"/>
        </w:rPr>
      </w:pPr>
      <w:r w:rsidRPr="00E75D6B">
        <w:rPr>
          <w:rFonts w:ascii="Noto Sans" w:hAnsi="Noto Sans" w:cs="Noto Sans"/>
          <w:sz w:val="20"/>
          <w:szCs w:val="20"/>
        </w:rPr>
        <w:t>Design for longevity and modularity: Create equipment designed for long life and ease of service. Modular designs allow for upgrades and expansions as needed, reducing the necessity for complete replacements and conserving resources over time. Additionally, remote, advanced monitoring services can enhance support, helping equipment to function more efficiently.</w:t>
      </w:r>
    </w:p>
    <w:p w14:paraId="1B46200F" w14:textId="77777777" w:rsidR="00BE6A25" w:rsidRPr="00E75D6B" w:rsidRDefault="00BE6A25" w:rsidP="00BE6A25">
      <w:pPr>
        <w:rPr>
          <w:rFonts w:ascii="Noto Sans" w:hAnsi="Noto Sans" w:cs="Noto Sans"/>
          <w:sz w:val="20"/>
          <w:szCs w:val="20"/>
        </w:rPr>
      </w:pPr>
    </w:p>
    <w:p w14:paraId="6C489A6A" w14:textId="77777777" w:rsidR="00BE6A25" w:rsidRPr="00E75D6B" w:rsidRDefault="00BE6A25" w:rsidP="00BE6A25">
      <w:pPr>
        <w:pStyle w:val="ListParagraph"/>
        <w:numPr>
          <w:ilvl w:val="0"/>
          <w:numId w:val="3"/>
        </w:numPr>
        <w:rPr>
          <w:rFonts w:ascii="Noto Sans" w:hAnsi="Noto Sans" w:cs="Noto Sans"/>
          <w:sz w:val="20"/>
          <w:szCs w:val="20"/>
        </w:rPr>
      </w:pPr>
      <w:r w:rsidRPr="00E75D6B">
        <w:rPr>
          <w:rFonts w:ascii="Noto Sans" w:hAnsi="Noto Sans" w:cs="Noto Sans"/>
          <w:sz w:val="20"/>
          <w:szCs w:val="20"/>
        </w:rPr>
        <w:t>Outcome-based manufacturing models: Shift from a product-focused mindset of selling machinery to an outcome-based approach focused on solutions. In such models, machinery suppliers take responsibility for ensuring that equipment operates at optimal capacity, focusing on performance or outcomes as opposed to transactional sales. This approach can lead to more sustainable operations as manufacturers and brands optimise machinery usage.</w:t>
      </w:r>
    </w:p>
    <w:p w14:paraId="3858D2D6" w14:textId="77777777" w:rsidR="00BE6A25" w:rsidRPr="00E75D6B" w:rsidRDefault="00BE6A25" w:rsidP="00BE6A25">
      <w:pPr>
        <w:rPr>
          <w:rFonts w:ascii="Noto Sans" w:hAnsi="Noto Sans" w:cs="Noto Sans"/>
          <w:sz w:val="20"/>
          <w:szCs w:val="20"/>
        </w:rPr>
      </w:pPr>
    </w:p>
    <w:p w14:paraId="429D3F2C" w14:textId="77777777" w:rsidR="00BE6A25" w:rsidRPr="00E75D6B" w:rsidRDefault="00BE6A25" w:rsidP="00BE6A25">
      <w:pPr>
        <w:rPr>
          <w:rFonts w:ascii="Noto Sans" w:hAnsi="Noto Sans" w:cs="Noto Sans"/>
          <w:sz w:val="20"/>
          <w:szCs w:val="20"/>
        </w:rPr>
      </w:pPr>
    </w:p>
    <w:p w14:paraId="258D5640" w14:textId="77777777" w:rsidR="00BE6A25" w:rsidRPr="00E75D6B" w:rsidRDefault="00BE6A25" w:rsidP="00BE6A25">
      <w:pPr>
        <w:rPr>
          <w:rFonts w:ascii="Noto Sans" w:hAnsi="Noto Sans" w:cs="Noto Sans"/>
          <w:b/>
          <w:bCs/>
          <w:sz w:val="20"/>
          <w:szCs w:val="20"/>
        </w:rPr>
      </w:pPr>
      <w:r w:rsidRPr="00E75D6B">
        <w:rPr>
          <w:rFonts w:ascii="Noto Sans" w:hAnsi="Noto Sans" w:cs="Noto Sans"/>
          <w:b/>
          <w:bCs/>
          <w:sz w:val="20"/>
          <w:szCs w:val="20"/>
        </w:rPr>
        <w:t>Conclusion: A collective path forward</w:t>
      </w:r>
    </w:p>
    <w:p w14:paraId="3A3291DE" w14:textId="77777777" w:rsidR="00BE6A25" w:rsidRPr="00E75D6B" w:rsidRDefault="00BE6A25" w:rsidP="00BE6A25">
      <w:pPr>
        <w:rPr>
          <w:rFonts w:ascii="Noto Sans" w:hAnsi="Noto Sans" w:cs="Noto Sans"/>
          <w:sz w:val="20"/>
          <w:szCs w:val="20"/>
        </w:rPr>
      </w:pPr>
      <w:r w:rsidRPr="00E75D6B">
        <w:rPr>
          <w:rFonts w:ascii="Noto Sans" w:hAnsi="Noto Sans" w:cs="Noto Sans"/>
          <w:sz w:val="20"/>
          <w:szCs w:val="20"/>
        </w:rPr>
        <w:t>The manufacturing industry is at a pivotal moment in its journey toward environmental sustainability. Machinery manufacturers can play a vital role in helping reduce GHG emissions across the supply chain by aligning their sustainability commitments with those of their FMCG-manufacturing customers. Developing more sustainable machinery, focusing on efforts that minimise waste, and innovating new business models are critical steps that we can take to foster a culture of environmental responsibility.</w:t>
      </w:r>
    </w:p>
    <w:p w14:paraId="4112C977" w14:textId="77777777" w:rsidR="00BE6A25" w:rsidRPr="00E75D6B" w:rsidRDefault="00BE6A25" w:rsidP="00BE6A25">
      <w:pPr>
        <w:rPr>
          <w:rFonts w:ascii="Noto Sans" w:hAnsi="Noto Sans" w:cs="Noto Sans"/>
          <w:sz w:val="20"/>
          <w:szCs w:val="20"/>
        </w:rPr>
      </w:pPr>
    </w:p>
    <w:p w14:paraId="08C7AF94" w14:textId="77777777" w:rsidR="00BE6A25" w:rsidRPr="00E75D6B" w:rsidRDefault="00BE6A25" w:rsidP="00BE6A25">
      <w:pPr>
        <w:rPr>
          <w:rFonts w:ascii="Noto Sans" w:hAnsi="Noto Sans" w:cs="Noto Sans"/>
          <w:sz w:val="20"/>
          <w:szCs w:val="20"/>
        </w:rPr>
      </w:pPr>
      <w:r w:rsidRPr="00E75D6B">
        <w:rPr>
          <w:rFonts w:ascii="Noto Sans" w:hAnsi="Noto Sans" w:cs="Noto Sans"/>
          <w:sz w:val="20"/>
          <w:szCs w:val="20"/>
        </w:rPr>
        <w:t>Ultimately, environmental sustainability in manufacturing is not just an operational challenge but an opportunity to innovate and lead in a rapidly changing world. By working collaboratively with manufacturers, brands, and consumers, machinery manufacturers can create solutions that enhance their own sustainability profiles while contributing to a healthier planet for future generations.</w:t>
      </w:r>
    </w:p>
    <w:p w14:paraId="6FA76FF8" w14:textId="77777777" w:rsidR="00BE6A25" w:rsidRPr="00E75D6B" w:rsidRDefault="00BE6A25" w:rsidP="00BE6A25">
      <w:pPr>
        <w:rPr>
          <w:rFonts w:ascii="Noto Sans" w:hAnsi="Noto Sans" w:cs="Noto Sans"/>
          <w:sz w:val="20"/>
          <w:szCs w:val="20"/>
        </w:rPr>
      </w:pPr>
    </w:p>
    <w:p w14:paraId="057F6792" w14:textId="7D12EF46" w:rsidR="00BE6A25" w:rsidRPr="00E75D6B" w:rsidRDefault="00E75D6B" w:rsidP="00BE6A25">
      <w:pPr>
        <w:rPr>
          <w:rFonts w:ascii="Noto Sans" w:hAnsi="Noto Sans" w:cs="Noto Sans"/>
          <w:sz w:val="20"/>
          <w:szCs w:val="20"/>
        </w:rPr>
      </w:pPr>
      <w:r>
        <w:rPr>
          <w:rFonts w:ascii="Noto Sans" w:hAnsi="Noto Sans" w:cs="Noto Sans"/>
          <w:sz w:val="20"/>
          <w:szCs w:val="20"/>
        </w:rPr>
        <w:t>&lt;</w:t>
      </w:r>
      <w:r w:rsidR="00BE6A25" w:rsidRPr="00E75D6B">
        <w:rPr>
          <w:rFonts w:ascii="Noto Sans" w:hAnsi="Noto Sans" w:cs="Noto Sans"/>
          <w:b/>
          <w:bCs/>
          <w:sz w:val="20"/>
          <w:szCs w:val="20"/>
        </w:rPr>
        <w:t>ENDS</w:t>
      </w:r>
      <w:r w:rsidRPr="00E75D6B">
        <w:rPr>
          <w:rFonts w:ascii="Noto Sans" w:hAnsi="Noto Sans" w:cs="Noto Sans"/>
          <w:sz w:val="20"/>
          <w:szCs w:val="20"/>
        </w:rPr>
        <w:t>&gt;</w:t>
      </w:r>
    </w:p>
    <w:p w14:paraId="03B503DD" w14:textId="77777777" w:rsidR="00BE6A25" w:rsidRPr="00E75D6B" w:rsidRDefault="00BE6A25" w:rsidP="00BE6A25">
      <w:pPr>
        <w:rPr>
          <w:rFonts w:ascii="Noto Sans" w:hAnsi="Noto Sans" w:cs="Noto Sans"/>
          <w:sz w:val="20"/>
          <w:szCs w:val="20"/>
        </w:rPr>
      </w:pPr>
    </w:p>
    <w:p w14:paraId="44291DB8" w14:textId="77777777" w:rsidR="00E75D6B" w:rsidRDefault="00E75D6B" w:rsidP="00C44603">
      <w:pPr>
        <w:rPr>
          <w:rFonts w:ascii="Noto Sans" w:hAnsi="Noto Sans" w:cs="Noto Sans"/>
          <w:b/>
          <w:sz w:val="20"/>
          <w:szCs w:val="20"/>
        </w:rPr>
      </w:pPr>
      <w:bookmarkStart w:id="0" w:name="_Hlk531088985"/>
    </w:p>
    <w:p w14:paraId="048B7BF3" w14:textId="6A5507CD" w:rsidR="005524DB" w:rsidRPr="00E75D6B" w:rsidRDefault="00E75D6B" w:rsidP="00C44603">
      <w:pPr>
        <w:rPr>
          <w:rFonts w:ascii="Noto Sans" w:hAnsi="Noto Sans" w:cs="Noto Sans"/>
          <w:sz w:val="20"/>
          <w:szCs w:val="20"/>
        </w:rPr>
      </w:pPr>
      <w:r w:rsidRPr="0053681D">
        <w:rPr>
          <w:rFonts w:ascii="Noto Sans" w:hAnsi="Noto Sans" w:cs="Noto Sans"/>
          <w:b/>
          <w:sz w:val="20"/>
          <w:szCs w:val="20"/>
        </w:rPr>
        <w:lastRenderedPageBreak/>
        <w:t>Disclaimers</w:t>
      </w:r>
      <w:bookmarkEnd w:id="0"/>
      <w:r>
        <w:rPr>
          <w:rFonts w:ascii="Noto Sans" w:hAnsi="Noto Sans" w:cs="Noto Sans"/>
          <w:b/>
          <w:sz w:val="20"/>
          <w:szCs w:val="20"/>
        </w:rPr>
        <w:br/>
      </w:r>
      <w:r>
        <w:rPr>
          <w:rFonts w:ascii="Noto Sans" w:hAnsi="Noto Sans" w:cs="Noto Sans"/>
          <w:b/>
          <w:bCs/>
          <w:sz w:val="20"/>
          <w:szCs w:val="20"/>
        </w:rPr>
        <w:br/>
      </w:r>
      <w:r w:rsidRPr="007045EE">
        <w:rPr>
          <w:rFonts w:ascii="Noto Sans" w:hAnsi="Noto Sans" w:cs="Noto Sans"/>
          <w:b/>
          <w:bCs/>
          <w:sz w:val="20"/>
          <w:szCs w:val="20"/>
        </w:rPr>
        <w:t>Inks</w:t>
      </w:r>
      <w:r w:rsidRPr="007045EE">
        <w:rPr>
          <w:rFonts w:ascii="Noto Sans" w:hAnsi="Noto Sans" w:cs="Noto Sans"/>
          <w:sz w:val="20"/>
          <w:szCs w:val="20"/>
        </w:rPr>
        <w:br/>
        <w:t xml:space="preserve">The information contained in this document is not intended as a substitute for undertaking appropriate testing for your specific use and circumstances. Neither Domino UK Limited nor any of Domino’s group of companies is in any way liable for any reliance that you may put on this document with regards to the suitability of any ink for your particular application. This document does not form part of any terms and conditions between you and Domino, Legal Disclaimers v.1.0 February 2018 and Domino’s Terms and Conditions of sale, and in particular the warranties and liabilities contained within them, shall apply to any purchase of products by you. </w:t>
      </w:r>
      <w:r>
        <w:rPr>
          <w:rFonts w:ascii="Noto Sans" w:hAnsi="Noto Sans" w:cs="Noto Sans"/>
          <w:sz w:val="20"/>
          <w:szCs w:val="20"/>
        </w:rPr>
        <w:br/>
      </w:r>
      <w:r>
        <w:rPr>
          <w:rFonts w:ascii="Noto Sans" w:hAnsi="Noto Sans" w:cs="Noto Sans"/>
          <w:sz w:val="20"/>
          <w:szCs w:val="20"/>
        </w:rPr>
        <w:br/>
      </w:r>
      <w:r w:rsidRPr="007045EE">
        <w:rPr>
          <w:rFonts w:ascii="Noto Sans" w:hAnsi="Noto Sans" w:cs="Noto Sans"/>
          <w:b/>
          <w:bCs/>
          <w:sz w:val="20"/>
          <w:szCs w:val="20"/>
        </w:rPr>
        <w:t>General</w:t>
      </w:r>
      <w:r w:rsidRPr="007045EE">
        <w:rPr>
          <w:rFonts w:ascii="Noto Sans" w:hAnsi="Noto Sans" w:cs="Noto Sans"/>
          <w:sz w:val="20"/>
          <w:szCs w:val="20"/>
        </w:rPr>
        <w:br/>
      </w:r>
      <w:r w:rsidRPr="007262EB">
        <w:rPr>
          <w:rFonts w:ascii="Noto Sans" w:hAnsi="Noto Sans" w:cs="Noto Sans"/>
          <w:sz w:val="20"/>
          <w:szCs w:val="20"/>
        </w:rPr>
        <w:t xml:space="preserve">Information contained within this press release is considered to be true and correct at the date of publication by Domino, changes in circumstances after the time of publication may impact the accuracy of the information. </w:t>
      </w:r>
      <w:r w:rsidRPr="007045EE">
        <w:rPr>
          <w:rFonts w:ascii="Noto Sans" w:hAnsi="Noto Sans" w:cs="Noto Sans"/>
          <w:sz w:val="20"/>
          <w:szCs w:val="20"/>
        </w:rPr>
        <w:t>All performance related figures and claims quoted in this document were obtained under specific conditions and may only be replicated under similar conditions. For specific product details, you should contact your Domino Sales Advisor. This document does not form part of any terms and conditions between you and Domino.</w:t>
      </w:r>
      <w:r>
        <w:rPr>
          <w:rFonts w:ascii="Noto Sans" w:hAnsi="Noto Sans" w:cs="Noto Sans"/>
          <w:sz w:val="20"/>
          <w:szCs w:val="20"/>
        </w:rPr>
        <w:t xml:space="preserve"> </w:t>
      </w:r>
      <w:r>
        <w:rPr>
          <w:rFonts w:ascii="Noto Sans" w:hAnsi="Noto Sans" w:cs="Noto Sans"/>
          <w:sz w:val="20"/>
          <w:szCs w:val="20"/>
        </w:rPr>
        <w:br/>
      </w:r>
      <w:r w:rsidRPr="007045EE">
        <w:rPr>
          <w:rFonts w:ascii="Noto Sans" w:hAnsi="Noto Sans" w:cs="Noto Sans"/>
          <w:sz w:val="20"/>
          <w:szCs w:val="20"/>
        </w:rPr>
        <w:br/>
      </w:r>
      <w:r w:rsidRPr="007045EE">
        <w:rPr>
          <w:rFonts w:ascii="Noto Sans" w:hAnsi="Noto Sans" w:cs="Noto Sans"/>
          <w:b/>
          <w:bCs/>
          <w:sz w:val="20"/>
          <w:szCs w:val="20"/>
        </w:rPr>
        <w:t>Imagery</w:t>
      </w:r>
      <w:r w:rsidRPr="007045EE">
        <w:rPr>
          <w:rFonts w:ascii="Noto Sans" w:hAnsi="Noto Sans" w:cs="Noto Sans"/>
          <w:sz w:val="20"/>
          <w:szCs w:val="20"/>
        </w:rPr>
        <w:br/>
        <w:t xml:space="preserve">Images may include optional extras or upgrades. Print quality may differ depending on consumables, printer, substrates, and other factors. Images and photographs do not form any part of any terms and conditions between you and Domino. </w:t>
      </w:r>
      <w:r w:rsidRPr="007045EE">
        <w:rPr>
          <w:rFonts w:ascii="Noto Sans" w:hAnsi="Noto Sans" w:cs="Noto Sans"/>
          <w:sz w:val="20"/>
          <w:szCs w:val="20"/>
        </w:rPr>
        <w:br/>
      </w:r>
      <w:r w:rsidRPr="007045EE">
        <w:rPr>
          <w:rFonts w:ascii="Noto Sans" w:hAnsi="Noto Sans" w:cs="Noto Sans"/>
          <w:sz w:val="20"/>
          <w:szCs w:val="20"/>
        </w:rPr>
        <w:br/>
      </w:r>
      <w:r w:rsidRPr="007045EE">
        <w:rPr>
          <w:rFonts w:ascii="Noto Sans" w:hAnsi="Noto Sans" w:cs="Noto Sans"/>
          <w:b/>
          <w:bCs/>
          <w:sz w:val="20"/>
          <w:szCs w:val="20"/>
        </w:rPr>
        <w:t>Videos</w:t>
      </w:r>
      <w:r w:rsidRPr="007045EE">
        <w:rPr>
          <w:rFonts w:ascii="Noto Sans" w:hAnsi="Noto Sans" w:cs="Noto Sans"/>
          <w:sz w:val="20"/>
          <w:szCs w:val="20"/>
        </w:rPr>
        <w:br/>
        <w:t>This video is illustrative only and may include optional extras. Performance figures obtained under specific conditions; individual performance may vary. Errors and downtime on production lines may be unavoidable. Nothing in this video forms part of any contract between you and Domino.</w:t>
      </w:r>
      <w:r w:rsidRPr="007045EE">
        <w:rPr>
          <w:rFonts w:ascii="Noto Sans" w:hAnsi="Noto Sans" w:cs="Noto Sans"/>
          <w:sz w:val="20"/>
          <w:szCs w:val="20"/>
        </w:rPr>
        <w:br/>
      </w:r>
      <w:bookmarkStart w:id="1" w:name="_Hlk61949672"/>
      <w:r w:rsidRPr="007045EE">
        <w:rPr>
          <w:rFonts w:ascii="Noto Sans" w:hAnsi="Noto Sans" w:cs="Noto Sans"/>
          <w:b/>
          <w:sz w:val="20"/>
          <w:szCs w:val="20"/>
        </w:rPr>
        <w:br/>
        <w:t>Notes to Editors:</w:t>
      </w:r>
      <w:r w:rsidRPr="007045EE">
        <w:rPr>
          <w:rFonts w:ascii="Noto Sans" w:hAnsi="Noto Sans" w:cs="Noto Sans"/>
          <w:b/>
          <w:sz w:val="20"/>
          <w:szCs w:val="20"/>
        </w:rPr>
        <w:br/>
      </w:r>
      <w:r w:rsidRPr="007045EE">
        <w:rPr>
          <w:rFonts w:ascii="Noto Sans" w:hAnsi="Noto Sans" w:cs="Noto Sans"/>
          <w:sz w:val="20"/>
          <w:szCs w:val="20"/>
        </w:rPr>
        <w:br/>
      </w:r>
      <w:r w:rsidRPr="007045EE">
        <w:rPr>
          <w:rFonts w:ascii="Noto Sans" w:hAnsi="Noto Sans" w:cs="Noto Sans"/>
          <w:b/>
          <w:sz w:val="20"/>
          <w:szCs w:val="20"/>
        </w:rPr>
        <w:t>About Domino</w:t>
      </w:r>
      <w:r w:rsidRPr="007045EE">
        <w:rPr>
          <w:rFonts w:ascii="Noto Sans" w:hAnsi="Noto Sans" w:cs="Noto Sans"/>
          <w:b/>
          <w:sz w:val="20"/>
          <w:szCs w:val="20"/>
        </w:rPr>
        <w:br/>
      </w:r>
      <w:r w:rsidRPr="007045EE">
        <w:rPr>
          <w:rFonts w:ascii="Noto Sans" w:hAnsi="Noto Sans" w:cs="Noto Sans"/>
          <w:sz w:val="20"/>
          <w:szCs w:val="20"/>
        </w:rPr>
        <w:br/>
        <w:t xml:space="preserve">Since 1978, Domino Printing Sciences (Domino) has established a global reputation for the development and manufacture of coding, marking, and printing technologies, as well as its worldwide aftermarket products and customer services. Today, Domino offers one of the most comprehensive portfolios of complete end-to-end coding solutions designed to satisfy the compliance and productivity requirements of manufacturers across many sectors, including food, beverage, pharmaceutical, and industrial. The company’s core technologies include innovative inkjet, laser, print and apply, and thermal transfer overprinting systems designed for the application of variable data, barcodes, and unique traceability codes onto product and packaging. </w:t>
      </w:r>
      <w:r w:rsidRPr="007045EE">
        <w:rPr>
          <w:rFonts w:ascii="Noto Sans" w:hAnsi="Noto Sans" w:cs="Noto Sans"/>
          <w:sz w:val="20"/>
          <w:szCs w:val="20"/>
        </w:rPr>
        <w:br/>
      </w:r>
      <w:r w:rsidRPr="007045EE">
        <w:rPr>
          <w:rFonts w:ascii="Noto Sans" w:hAnsi="Noto Sans" w:cs="Noto Sans"/>
          <w:sz w:val="20"/>
          <w:szCs w:val="20"/>
        </w:rPr>
        <w:br/>
      </w:r>
      <w:r w:rsidRPr="007045EE">
        <w:rPr>
          <w:rFonts w:ascii="Noto Sans" w:hAnsi="Noto Sans" w:cs="Noto Sans"/>
          <w:sz w:val="20"/>
          <w:szCs w:val="20"/>
        </w:rPr>
        <w:lastRenderedPageBreak/>
        <w:t>Domino employs over 3,000 people worldwide and sells to more than 120 countries through a global network of 29 subsidiary offices and more than 200 distributors. Domino’s manufacturing facilities are located in China, Germany, India, Sweden, Switzerland, UK, and the USA.</w:t>
      </w:r>
      <w:r w:rsidRPr="007045EE">
        <w:rPr>
          <w:rFonts w:ascii="Noto Sans" w:hAnsi="Noto Sans" w:cs="Noto Sans"/>
          <w:sz w:val="20"/>
          <w:szCs w:val="20"/>
        </w:rPr>
        <w:br/>
      </w:r>
      <w:r w:rsidRPr="007045EE">
        <w:rPr>
          <w:rFonts w:ascii="Noto Sans" w:hAnsi="Noto Sans" w:cs="Noto Sans"/>
          <w:sz w:val="20"/>
          <w:szCs w:val="20"/>
        </w:rPr>
        <w:br/>
        <w:t>Domino became an autonomous division within Brother Industries Ltd. on 11</w:t>
      </w:r>
      <w:r w:rsidRPr="007045EE">
        <w:rPr>
          <w:rFonts w:ascii="Noto Sans" w:hAnsi="Noto Sans" w:cs="Noto Sans"/>
          <w:sz w:val="20"/>
          <w:szCs w:val="20"/>
          <w:vertAlign w:val="superscript"/>
        </w:rPr>
        <w:t>th</w:t>
      </w:r>
      <w:r w:rsidRPr="007045EE">
        <w:rPr>
          <w:rFonts w:ascii="Noto Sans" w:hAnsi="Noto Sans" w:cs="Noto Sans"/>
          <w:sz w:val="20"/>
          <w:szCs w:val="20"/>
        </w:rPr>
        <w:t xml:space="preserve"> June 2015. </w:t>
      </w:r>
      <w:r w:rsidRPr="007045EE">
        <w:rPr>
          <w:rFonts w:ascii="Noto Sans" w:hAnsi="Noto Sans" w:cs="Noto Sans"/>
          <w:sz w:val="20"/>
          <w:szCs w:val="20"/>
        </w:rPr>
        <w:br/>
      </w:r>
      <w:r w:rsidRPr="007045EE">
        <w:rPr>
          <w:rFonts w:ascii="Noto Sans" w:hAnsi="Noto Sans" w:cs="Noto Sans"/>
          <w:sz w:val="20"/>
          <w:szCs w:val="20"/>
        </w:rPr>
        <w:br/>
        <w:t>For further information on Domino</w:t>
      </w:r>
      <w:r w:rsidRPr="007045EE">
        <w:rPr>
          <w:rFonts w:ascii="Noto Sans" w:hAnsi="Noto Sans" w:cs="Noto Sans"/>
          <w:sz w:val="20"/>
          <w:szCs w:val="20"/>
        </w:rPr>
        <w:br/>
        <w:t xml:space="preserve">Please visit </w:t>
      </w:r>
      <w:hyperlink r:id="rId11" w:history="1">
        <w:r w:rsidRPr="007045EE">
          <w:rPr>
            <w:rStyle w:val="Hyperlink"/>
            <w:rFonts w:ascii="Noto Sans" w:hAnsi="Noto Sans" w:cs="Noto Sans"/>
            <w:sz w:val="20"/>
            <w:szCs w:val="20"/>
          </w:rPr>
          <w:t>www.domino-printing.com</w:t>
        </w:r>
      </w:hyperlink>
      <w:r w:rsidRPr="007045EE">
        <w:rPr>
          <w:rFonts w:ascii="Noto Sans" w:hAnsi="Noto Sans" w:cs="Noto Sans"/>
          <w:sz w:val="20"/>
          <w:szCs w:val="20"/>
        </w:rPr>
        <w:t xml:space="preserve"> </w:t>
      </w:r>
      <w:r w:rsidRPr="007045EE">
        <w:rPr>
          <w:rFonts w:ascii="Noto Sans" w:hAnsi="Noto Sans" w:cs="Noto Sans"/>
          <w:sz w:val="20"/>
          <w:szCs w:val="20"/>
        </w:rPr>
        <w:br/>
      </w:r>
      <w:r w:rsidRPr="007045EE">
        <w:rPr>
          <w:rFonts w:ascii="Noto Sans" w:hAnsi="Noto Sans" w:cs="Noto Sans"/>
          <w:sz w:val="20"/>
          <w:szCs w:val="20"/>
        </w:rPr>
        <w:br/>
      </w:r>
      <w:r w:rsidRPr="007045EE">
        <w:rPr>
          <w:rFonts w:ascii="Noto Sans" w:hAnsi="Noto Sans" w:cs="Noto Sans"/>
          <w:b/>
          <w:sz w:val="20"/>
          <w:szCs w:val="20"/>
        </w:rPr>
        <w:t>Please contact:</w:t>
      </w:r>
      <w:r w:rsidRPr="007045EE">
        <w:rPr>
          <w:rFonts w:ascii="Noto Sans" w:hAnsi="Noto Sans" w:cs="Noto Sans"/>
          <w:sz w:val="20"/>
          <w:szCs w:val="20"/>
        </w:rPr>
        <w:br/>
      </w:r>
      <w:r w:rsidRPr="007045EE">
        <w:rPr>
          <w:rFonts w:ascii="Noto Sans" w:hAnsi="Noto Sans" w:cs="Noto Sans"/>
          <w:sz w:val="20"/>
          <w:szCs w:val="20"/>
        </w:rPr>
        <w:br/>
      </w:r>
      <w:bookmarkEnd w:id="1"/>
      <w:r w:rsidRPr="007045EE">
        <w:rPr>
          <w:rFonts w:ascii="Noto Sans" w:hAnsi="Noto Sans" w:cs="Noto Sans"/>
          <w:sz w:val="20"/>
          <w:szCs w:val="20"/>
        </w:rPr>
        <w:t xml:space="preserve">Jade Taylor-Salazar </w:t>
      </w:r>
      <w:r w:rsidRPr="007045EE">
        <w:rPr>
          <w:rFonts w:ascii="Noto Sans" w:hAnsi="Noto Sans" w:cs="Noto Sans"/>
          <w:sz w:val="20"/>
          <w:szCs w:val="20"/>
        </w:rPr>
        <w:br/>
        <w:t xml:space="preserve">PR and Content Manager </w:t>
      </w:r>
      <w:r w:rsidRPr="007045EE">
        <w:rPr>
          <w:rFonts w:ascii="Noto Sans" w:hAnsi="Noto Sans" w:cs="Noto Sans"/>
          <w:sz w:val="20"/>
          <w:szCs w:val="20"/>
        </w:rPr>
        <w:br/>
        <w:t xml:space="preserve">Domino Printing Sciences </w:t>
      </w:r>
      <w:r w:rsidRPr="007045EE">
        <w:rPr>
          <w:rFonts w:ascii="Noto Sans" w:hAnsi="Noto Sans" w:cs="Noto Sans"/>
          <w:sz w:val="20"/>
          <w:szCs w:val="20"/>
        </w:rPr>
        <w:br/>
        <w:t>Tel: +44 (0) 1954 778780</w:t>
      </w:r>
      <w:r w:rsidRPr="007045EE">
        <w:rPr>
          <w:rFonts w:ascii="Noto Sans" w:hAnsi="Noto Sans" w:cs="Noto Sans"/>
          <w:sz w:val="20"/>
          <w:szCs w:val="20"/>
        </w:rPr>
        <w:br/>
      </w:r>
      <w:hyperlink r:id="rId12" w:history="1">
        <w:r w:rsidRPr="007045EE">
          <w:rPr>
            <w:rStyle w:val="Hyperlink"/>
            <w:rFonts w:ascii="Noto Sans" w:hAnsi="Noto Sans" w:cs="Noto Sans"/>
            <w:sz w:val="20"/>
            <w:szCs w:val="20"/>
          </w:rPr>
          <w:t>Jade.Taylor-Salazar@domino-uk.com</w:t>
        </w:r>
      </w:hyperlink>
      <w:r w:rsidRPr="007045EE">
        <w:rPr>
          <w:rFonts w:ascii="Noto Sans" w:hAnsi="Noto Sans" w:cs="Noto Sans"/>
          <w:sz w:val="20"/>
          <w:szCs w:val="20"/>
        </w:rPr>
        <w:t xml:space="preserve"> </w:t>
      </w:r>
      <w:r w:rsidRPr="007045EE">
        <w:rPr>
          <w:rFonts w:ascii="Noto Sans" w:hAnsi="Noto Sans" w:cs="Noto Sans"/>
          <w:sz w:val="20"/>
          <w:szCs w:val="20"/>
        </w:rPr>
        <w:br/>
      </w:r>
    </w:p>
    <w:sectPr w:rsidR="005524DB" w:rsidRPr="00E75D6B" w:rsidSect="000F6D00">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1531" w:footer="2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18470D" w14:textId="77777777" w:rsidR="00BE6A25" w:rsidRDefault="00BE6A25" w:rsidP="00785717">
      <w:r>
        <w:separator/>
      </w:r>
    </w:p>
  </w:endnote>
  <w:endnote w:type="continuationSeparator" w:id="0">
    <w:p w14:paraId="230F93FF" w14:textId="77777777" w:rsidR="00BE6A25" w:rsidRDefault="00BE6A25" w:rsidP="00785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Noto Sans">
    <w:panose1 w:val="020B0502040504020204"/>
    <w:charset w:val="00"/>
    <w:family w:val="swiss"/>
    <w:pitch w:val="variable"/>
    <w:sig w:usb0="E00082FF" w:usb1="4000205F" w:usb2="08000029"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ED0F52" w14:textId="77777777" w:rsidR="00EC1C5A" w:rsidRDefault="00EC1C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5CCD55" w14:textId="77777777" w:rsidR="00785717" w:rsidRDefault="000F6D00" w:rsidP="00785717">
    <w:pPr>
      <w:pStyle w:val="Footer"/>
    </w:pPr>
    <w:r>
      <w:rPr>
        <w:noProof/>
      </w:rPr>
      <w:drawing>
        <wp:anchor distT="0" distB="0" distL="114300" distR="114300" simplePos="0" relativeHeight="251659264" behindDoc="0" locked="0" layoutInCell="1" allowOverlap="1" wp14:anchorId="1E0061AC" wp14:editId="0FAFCD11">
          <wp:simplePos x="0" y="0"/>
          <wp:positionH relativeFrom="column">
            <wp:posOffset>4953000</wp:posOffset>
          </wp:positionH>
          <wp:positionV relativeFrom="paragraph">
            <wp:posOffset>1231440</wp:posOffset>
          </wp:positionV>
          <wp:extent cx="1466850" cy="139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466850" cy="139350"/>
                  </a:xfrm>
                  <a:prstGeom prst="rect">
                    <a:avLst/>
                  </a:prstGeom>
                </pic:spPr>
              </pic:pic>
            </a:graphicData>
          </a:graphic>
          <wp14:sizeRelH relativeFrom="margin">
            <wp14:pctWidth>0</wp14:pctWidth>
          </wp14:sizeRelH>
          <wp14:sizeRelV relativeFrom="margin">
            <wp14:pctHeight>0</wp14:pctHeight>
          </wp14:sizeRelV>
        </wp:anchor>
      </w:drawing>
    </w:r>
    <w:r w:rsidR="00BC7C15">
      <w:rPr>
        <w:noProof/>
      </w:rPr>
      <w:drawing>
        <wp:anchor distT="0" distB="0" distL="114300" distR="114300" simplePos="0" relativeHeight="251658240" behindDoc="1" locked="0" layoutInCell="1" allowOverlap="1" wp14:anchorId="665AC6E3" wp14:editId="438CD7C5">
          <wp:simplePos x="0" y="0"/>
          <wp:positionH relativeFrom="page">
            <wp:posOffset>47625</wp:posOffset>
          </wp:positionH>
          <wp:positionV relativeFrom="page">
            <wp:posOffset>9247505</wp:posOffset>
          </wp:positionV>
          <wp:extent cx="7448550" cy="1259840"/>
          <wp:effectExtent l="0" t="0" r="0" b="0"/>
          <wp:wrapNone/>
          <wp:docPr id="1" name="Picture 1" descr="A picture containing knif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knif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7448550" cy="125984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9F0575" w14:textId="77777777" w:rsidR="00EC1C5A" w:rsidRDefault="00EC1C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17B47C" w14:textId="77777777" w:rsidR="00BE6A25" w:rsidRDefault="00BE6A25" w:rsidP="00785717">
      <w:r>
        <w:separator/>
      </w:r>
    </w:p>
  </w:footnote>
  <w:footnote w:type="continuationSeparator" w:id="0">
    <w:p w14:paraId="0B0CBB8F" w14:textId="77777777" w:rsidR="00BE6A25" w:rsidRDefault="00BE6A25" w:rsidP="007857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7A4FC3" w14:textId="77777777" w:rsidR="00EC1C5A" w:rsidRDefault="00EC1C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C10703" w14:textId="77777777" w:rsidR="000F6D00" w:rsidRDefault="002766D9">
    <w:pPr>
      <w:pStyle w:val="Header"/>
    </w:pPr>
    <w:r>
      <w:rPr>
        <w:noProof/>
      </w:rPr>
      <w:drawing>
        <wp:anchor distT="0" distB="0" distL="114300" distR="114300" simplePos="0" relativeHeight="251661312" behindDoc="0" locked="0" layoutInCell="1" allowOverlap="1" wp14:anchorId="4D7F61C9" wp14:editId="2AD73B08">
          <wp:simplePos x="0" y="0"/>
          <wp:positionH relativeFrom="page">
            <wp:posOffset>228600</wp:posOffset>
          </wp:positionH>
          <wp:positionV relativeFrom="paragraph">
            <wp:posOffset>-972185</wp:posOffset>
          </wp:positionV>
          <wp:extent cx="2781300" cy="1096645"/>
          <wp:effectExtent l="0" t="0" r="0" b="0"/>
          <wp:wrapSquare wrapText="bothSides"/>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a:picLocks noChangeAspect="1" noChangeArrowheads="1"/>
                  </pic:cNvPicPr>
                </pic:nvPicPr>
                <pic:blipFill rotWithShape="1">
                  <a:blip r:embed="rId1">
                    <a:clrChange>
                      <a:clrFrom>
                        <a:srgbClr val="FFFEFD"/>
                      </a:clrFrom>
                      <a:clrTo>
                        <a:srgbClr val="FFFEFD">
                          <a:alpha val="0"/>
                        </a:srgbClr>
                      </a:clrTo>
                    </a:clrChange>
                    <a:extLst>
                      <a:ext uri="{28A0092B-C50C-407E-A947-70E740481C1C}">
                        <a14:useLocalDpi xmlns:a14="http://schemas.microsoft.com/office/drawing/2010/main" val="0"/>
                      </a:ext>
                    </a:extLst>
                  </a:blip>
                  <a:srcRect b="11420"/>
                  <a:stretch/>
                </pic:blipFill>
                <pic:spPr bwMode="auto">
                  <a:xfrm>
                    <a:off x="0" y="0"/>
                    <a:ext cx="2781300" cy="10966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C5C4D5" w14:textId="77777777" w:rsidR="00EC1C5A" w:rsidRDefault="00EC1C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FCA120A"/>
    <w:multiLevelType w:val="hybridMultilevel"/>
    <w:tmpl w:val="4C56FF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1B34943"/>
    <w:multiLevelType w:val="hybridMultilevel"/>
    <w:tmpl w:val="E14E28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FCF017A"/>
    <w:multiLevelType w:val="hybridMultilevel"/>
    <w:tmpl w:val="C8BEB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86637725">
    <w:abstractNumId w:val="2"/>
  </w:num>
  <w:num w:numId="2" w16cid:durableId="241068451">
    <w:abstractNumId w:val="0"/>
  </w:num>
  <w:num w:numId="3" w16cid:durableId="409042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A25"/>
    <w:rsid w:val="0002201E"/>
    <w:rsid w:val="000F6D00"/>
    <w:rsid w:val="00162397"/>
    <w:rsid w:val="001D743C"/>
    <w:rsid w:val="002766D9"/>
    <w:rsid w:val="00372E92"/>
    <w:rsid w:val="005272B1"/>
    <w:rsid w:val="005524DB"/>
    <w:rsid w:val="005741C7"/>
    <w:rsid w:val="00634179"/>
    <w:rsid w:val="00647055"/>
    <w:rsid w:val="00660F46"/>
    <w:rsid w:val="006F36FE"/>
    <w:rsid w:val="00785717"/>
    <w:rsid w:val="007A5C89"/>
    <w:rsid w:val="008220B7"/>
    <w:rsid w:val="00823B77"/>
    <w:rsid w:val="00825244"/>
    <w:rsid w:val="008916A8"/>
    <w:rsid w:val="008B6461"/>
    <w:rsid w:val="008D16B2"/>
    <w:rsid w:val="008F3E38"/>
    <w:rsid w:val="00931996"/>
    <w:rsid w:val="009A1716"/>
    <w:rsid w:val="009A1DEC"/>
    <w:rsid w:val="009D6280"/>
    <w:rsid w:val="00A34918"/>
    <w:rsid w:val="00AB11DA"/>
    <w:rsid w:val="00B23C3C"/>
    <w:rsid w:val="00B546C5"/>
    <w:rsid w:val="00BC7C15"/>
    <w:rsid w:val="00BE6A25"/>
    <w:rsid w:val="00C063FE"/>
    <w:rsid w:val="00C44603"/>
    <w:rsid w:val="00C541FE"/>
    <w:rsid w:val="00CF1AD5"/>
    <w:rsid w:val="00E03029"/>
    <w:rsid w:val="00E75D6B"/>
    <w:rsid w:val="00EA1F41"/>
    <w:rsid w:val="00EC1C5A"/>
    <w:rsid w:val="00F82F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7DD564"/>
  <w15:chartTrackingRefBased/>
  <w15:docId w15:val="{C05FDF9C-EE6A-4A71-B25E-5DD43796F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A25"/>
    <w:pPr>
      <w:spacing w:after="0" w:line="240" w:lineRule="auto"/>
    </w:pPr>
    <w:rPr>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5717"/>
    <w:pPr>
      <w:tabs>
        <w:tab w:val="center" w:pos="4513"/>
        <w:tab w:val="right" w:pos="9026"/>
      </w:tabs>
    </w:pPr>
    <w:rPr>
      <w:sz w:val="22"/>
    </w:rPr>
  </w:style>
  <w:style w:type="character" w:customStyle="1" w:styleId="HeaderChar">
    <w:name w:val="Header Char"/>
    <w:basedOn w:val="DefaultParagraphFont"/>
    <w:link w:val="Header"/>
    <w:uiPriority w:val="99"/>
    <w:rsid w:val="00785717"/>
  </w:style>
  <w:style w:type="paragraph" w:styleId="Footer">
    <w:name w:val="footer"/>
    <w:basedOn w:val="Normal"/>
    <w:link w:val="FooterChar"/>
    <w:uiPriority w:val="99"/>
    <w:unhideWhenUsed/>
    <w:rsid w:val="00785717"/>
    <w:pPr>
      <w:tabs>
        <w:tab w:val="center" w:pos="4513"/>
        <w:tab w:val="right" w:pos="9026"/>
      </w:tabs>
    </w:pPr>
    <w:rPr>
      <w:sz w:val="22"/>
    </w:rPr>
  </w:style>
  <w:style w:type="character" w:customStyle="1" w:styleId="FooterChar">
    <w:name w:val="Footer Char"/>
    <w:basedOn w:val="DefaultParagraphFont"/>
    <w:link w:val="Footer"/>
    <w:uiPriority w:val="99"/>
    <w:rsid w:val="00785717"/>
  </w:style>
  <w:style w:type="character" w:styleId="Hyperlink">
    <w:name w:val="Hyperlink"/>
    <w:basedOn w:val="DefaultParagraphFont"/>
    <w:uiPriority w:val="99"/>
    <w:rsid w:val="001D743C"/>
    <w:rPr>
      <w:color w:val="0000FF"/>
      <w:u w:val="single"/>
    </w:rPr>
  </w:style>
  <w:style w:type="paragraph" w:styleId="NoSpacing">
    <w:name w:val="No Spacing"/>
    <w:uiPriority w:val="1"/>
    <w:qFormat/>
    <w:rsid w:val="001D743C"/>
    <w:pPr>
      <w:spacing w:after="0" w:line="240" w:lineRule="auto"/>
    </w:pPr>
    <w:rPr>
      <w:rFonts w:ascii="Verdana" w:eastAsia="Calibri" w:hAnsi="Verdana" w:cs="Times New Roman"/>
      <w:sz w:val="18"/>
    </w:rPr>
  </w:style>
  <w:style w:type="character" w:styleId="UnresolvedMention">
    <w:name w:val="Unresolved Mention"/>
    <w:basedOn w:val="DefaultParagraphFont"/>
    <w:uiPriority w:val="99"/>
    <w:semiHidden/>
    <w:unhideWhenUsed/>
    <w:rsid w:val="00931996"/>
    <w:rPr>
      <w:color w:val="605E5C"/>
      <w:shd w:val="clear" w:color="auto" w:fill="E1DFDD"/>
    </w:rPr>
  </w:style>
  <w:style w:type="paragraph" w:styleId="ListParagraph">
    <w:name w:val="List Paragraph"/>
    <w:basedOn w:val="Normal"/>
    <w:uiPriority w:val="34"/>
    <w:qFormat/>
    <w:rsid w:val="00BE6A25"/>
    <w:pPr>
      <w:ind w:left="720"/>
      <w:contextualSpacing/>
    </w:pPr>
  </w:style>
  <w:style w:type="character" w:styleId="CommentReference">
    <w:name w:val="annotation reference"/>
    <w:basedOn w:val="DefaultParagraphFont"/>
    <w:uiPriority w:val="99"/>
    <w:semiHidden/>
    <w:unhideWhenUsed/>
    <w:rsid w:val="00BE6A25"/>
    <w:rPr>
      <w:sz w:val="16"/>
      <w:szCs w:val="16"/>
    </w:rPr>
  </w:style>
  <w:style w:type="paragraph" w:styleId="CommentText">
    <w:name w:val="annotation text"/>
    <w:basedOn w:val="Normal"/>
    <w:link w:val="CommentTextChar"/>
    <w:uiPriority w:val="99"/>
    <w:unhideWhenUsed/>
    <w:rsid w:val="00BE6A25"/>
    <w:rPr>
      <w:sz w:val="20"/>
      <w:szCs w:val="20"/>
    </w:rPr>
  </w:style>
  <w:style w:type="character" w:customStyle="1" w:styleId="CommentTextChar">
    <w:name w:val="Comment Text Char"/>
    <w:basedOn w:val="DefaultParagraphFont"/>
    <w:link w:val="CommentText"/>
    <w:uiPriority w:val="99"/>
    <w:rsid w:val="00BE6A25"/>
    <w:rPr>
      <w:kern w:val="2"/>
      <w:sz w:val="20"/>
      <w:szCs w:val="20"/>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omino-printing.com/en-gb/press-centre/press-centre.aspx?utm_medium=non-paid&amp;utm_source=onlinepublication&amp;utm_content=tl-en&amp;utm_campaign=2025-int-en-environmental-sustainability-in-manufacturing-tlp"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oneclicklca.com/en/resources/articles/global-emissions-from-construction-and-manufacturing" TargetMode="External"/><Relationship Id="rId12" Type="http://schemas.openxmlformats.org/officeDocument/2006/relationships/hyperlink" Target="mailto:Jade.Taylor-Salazar@domino-uk.com"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omino-printing.com"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ibm.com/topics/business-sustainability"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green-business.ec.europa.eu/deforestation-regulation-implementation_en"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_Taylor-Salazar\AppData\Roaming\Microsoft\Templates\header%20and%20foo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header and footer</Template>
  <TotalTime>4</TotalTime>
  <Pages>5</Pages>
  <Words>1746</Words>
  <Characters>9957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Jade Taylor-Salazar</dc:creator>
  <cp:keywords/>
  <dc:description/>
  <cp:lastModifiedBy>Jade Taylor-Salazar</cp:lastModifiedBy>
  <cp:revision>3</cp:revision>
  <dcterms:created xsi:type="dcterms:W3CDTF">2025-01-09T12:18:00Z</dcterms:created>
  <dcterms:modified xsi:type="dcterms:W3CDTF">2025-01-31T10:24:00Z</dcterms:modified>
</cp:coreProperties>
</file>