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355600" cy="330200"/>
            <wp:effectExtent t="0" b="0" r="0" l="0"/>
            <wp:docPr id="6" name="media/image6.png"/>
            <a:graphic>
              <a:graphicData uri="http://schemas.openxmlformats.org/drawingml/2006/picture">
                <pic:pic>
                  <pic:nvPicPr>
                    <pic:cNvPr id="6" name="media/image6.png"/>
                    <pic:cNvPicPr/>
                  </pic:nvPicPr>
                  <pic:blipFill>
                    <a:blip r:embed="rId6"/>
                    <a:srcRect/>
                    <a:stretch>
                      <a:fillRect/>
                    </a:stretch>
                  </pic:blipFill>
                  <pic:spPr>
                    <a:xfrm>
                      <a:ext cx="355600" cy="3302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Testing for PRowly</w:t>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paulina-prowly123.prowly.com</w:t>
        </w:r>
      </w:hyperlink>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5041900"/>
            <wp:effectExtent t="0" b="0" r="0" l="0"/>
            <wp:docPr id="8" name="media/image8.jpg"/>
            <a:graphic>
              <a:graphicData uri="http://schemas.openxmlformats.org/drawingml/2006/picture">
                <pic:pic>
                  <pic:nvPicPr>
                    <pic:cNvPr id="8" name="media/image8.jpg"/>
                    <pic:cNvPicPr/>
                  </pic:nvPicPr>
                  <pic:blipFill>
                    <a:blip r:embed="rId8"/>
                    <a:srcRect/>
                    <a:stretch>
                      <a:fillRect/>
                    </a:stretch>
                  </pic:blipFill>
                  <pic:spPr>
                    <a:xfrm>
                      <a:ext cx="6858000" cy="50419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RADIANT GLOW SERUM LAUNCH WITH ECO-FRIENDLY PACKAGING AND RECORD SALES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2024-09-23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The Radiant Glow Serum is a revolutionary product that has been formulated with the likes of Hyaluronic Acid, Vitamin C, and Green Tea Extract. These ingredients are well-known for their skin-enhancing properties, offering hydration, brightening effects, and protection against environmental damage, respectively. The product's advanced formula has been dermatologist-tested and is hypoallergenic, making it suitable for all skin types. kajsbdkjadsb</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In a dazzling display of star power and innovative skincare, Radiant Glow Serum celebrated its launch with Hollywood actress and beauty icon, Emma Stone, taking centre stage as the face of the product. Emma's radiant skin and effervescent personality perfectly encapsulated the promise of the serum — a glow that speaks volumes about vitality and healthy skin.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To ensure the highest level of efficacy, the serum utilises a state-of-the-art micro-encapsulation technology. This innovative delivery system ensures that the active ingredients are released slowly, providing the skin with continuous nourishment for an extended period. The visible results, such as instant hydration and a significant boost in radiance, have been reported by users and can be seen within a week of consistent use.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In line with their commitment to sustainability, the company has introduced eco-friendly packaging for Radiant Glow Serum. Working in partnership with several environmental organisations, including the World Wildlife Fund, the Environmental Protection Agency, and the Ocean Conservancy, the company has ensured a minimal environmental impact throughout the product lifecycle. The packaging is made from 100% recyclable materials, including recycled glass, biodegradable bioplastic, and recycled cardboard, printed with soy-based inks.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The launch of the Radiant Glow Serum has seen a phenomenal response from customers, with record-breaking sales recorded within the first 24 hours. With over 100,000 units sold on the first day of its launch, the product's performance significantly outshines the sales of similar products in the beauty industry. The exceptional demand has led to the product selling out in numerous stores, resulting in a waiting list for new customers.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The skincare market has always been highly competitive, with brands continually striving to innovate and capture consumer interest. The launch of Radiant Glow Serum, however, has disrupted the market, setting new records and raising the bar for future product launches. The combination of a celebrity endorsement, advanced skincare technology, and a commitment to sustainability has proven to be a powerful strategy, resonating strongly with consumers.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"The response to Radiant Glow Serum's launch has been nothing short of astounding," states a company spokesperson. "Emma Stone's endorsement, coupled with our commitment to sustainability and the product's proven efficacy, has truly resonated with our customers. We're grateful for the overwhelming support and are excited for what the future holds."</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png" Type="http://schemas.openxmlformats.org/officeDocument/2006/relationships/image" Id="rId6"/><Relationship Target="http://paulina-prowly123.prowly.com" Type="http://schemas.openxmlformats.org/officeDocument/2006/relationships/hyperlink" Id="rId7" TargetMode="External"/><Relationship Target="media/image8.jpg" Type="http://schemas.openxmlformats.org/officeDocument/2006/relationships/image"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2933f74005257988556a88347fce709c25a6b2217b23810d1d8b3d3ac76fd4e9radiant-glow-serum-launch-with-ec20241204-9-yqrcgk.docx</dc:title>
</cp:coreProperties>
</file>

<file path=docProps/custom.xml><?xml version="1.0" encoding="utf-8"?>
<Properties xmlns="http://schemas.openxmlformats.org/officeDocument/2006/custom-properties" xmlns:vt="http://schemas.openxmlformats.org/officeDocument/2006/docPropsVTypes"/>
</file>