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ADEDA" w14:textId="12F3DD50" w:rsidR="00D74D8D" w:rsidRPr="00F35511" w:rsidRDefault="6D2C8BC5" w:rsidP="6D2C8BC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bookmarkStart w:id="0" w:name="_Hlk166235444"/>
      <w:r w:rsidRPr="00F3551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Cyberbezpieczeństwo w branży TSL. Dyrektywa NIS 2 wprowadza nowe regulacje </w:t>
      </w:r>
    </w:p>
    <w:p w14:paraId="39CD24BD" w14:textId="77777777" w:rsidR="00D74D8D" w:rsidRPr="00F35511" w:rsidRDefault="00D74D8D" w:rsidP="00A365E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C9440C4" w14:textId="5D26598B" w:rsidR="00D74D8D" w:rsidRPr="00F35511" w:rsidRDefault="6D2C8BC5" w:rsidP="6D2C8BC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 w:rsidRPr="00F3551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Niepokojące wnioski </w:t>
      </w:r>
      <w:r w:rsidRPr="00F35511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z publikacji „The Blue Report 2023”. Efektywność zabezpieczeń przed cyberatakami, które stosują firmy z branży TSL, wynosi tylko 65</w:t>
      </w:r>
      <w:r w:rsidR="006169F0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proc</w:t>
      </w:r>
      <w:r w:rsidRPr="00F35511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. Tymczasem logistyka i transport to sektor o kluczowym znaczeniu dla gospodarki i bezpieczeństwa międzynarodowego.  </w:t>
      </w:r>
    </w:p>
    <w:p w14:paraId="466AB842" w14:textId="77777777" w:rsidR="00D74D8D" w:rsidRPr="00F35511" w:rsidRDefault="00D74D8D" w:rsidP="00A365E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E85646F" w14:textId="4FFDE364" w:rsidR="00D74D8D" w:rsidRPr="00F35511" w:rsidRDefault="6D2C8BC5" w:rsidP="6D2C8BC5">
      <w:pPr>
        <w:pStyle w:val="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>Dyrektywa NIS 2 wprowadza nowe ramy dla cyberbezpieczeństwa w Unii Europejskiej </w:t>
      </w:r>
    </w:p>
    <w:p w14:paraId="5E6AF03B" w14:textId="13FAE6FC" w:rsidR="00D74D8D" w:rsidRPr="00F35511" w:rsidRDefault="6D2C8BC5" w:rsidP="6D2C8BC5">
      <w:pPr>
        <w:pStyle w:val="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>Od 17 października 2024 wszystkie kraje członkowskie powinny zaimplementować dyrektywę w swoim systemie prawnym </w:t>
      </w:r>
    </w:p>
    <w:p w14:paraId="478EF5A7" w14:textId="0404B23E" w:rsidR="00D74D8D" w:rsidRPr="00F35511" w:rsidRDefault="6D2C8BC5" w:rsidP="00A365E1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11111"/>
          <w:sz w:val="22"/>
          <w:szCs w:val="22"/>
        </w:rPr>
      </w:pPr>
      <w:r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 xml:space="preserve">Nowe zasady – podmioty same muszą weryfikować, czy podlegają regulacjom </w:t>
      </w:r>
    </w:p>
    <w:p w14:paraId="008E23C6" w14:textId="37A7BA15" w:rsidR="6D2C8BC5" w:rsidRPr="00F35511" w:rsidRDefault="6D2C8BC5" w:rsidP="472F73A8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Calibri" w:eastAsia="Calibri" w:hAnsi="Calibri" w:cs="Calibri"/>
          <w:color w:val="111111"/>
          <w:sz w:val="22"/>
          <w:szCs w:val="22"/>
        </w:rPr>
      </w:pPr>
    </w:p>
    <w:p w14:paraId="41031C92" w14:textId="145476EC" w:rsidR="472F73A8" w:rsidRPr="00F35511" w:rsidRDefault="472F73A8" w:rsidP="472F73A8">
      <w:pPr>
        <w:pStyle w:val="paragraph"/>
        <w:shd w:val="clear" w:color="auto" w:fill="FFFFFF" w:themeFill="background1"/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  <w:r w:rsidRPr="00F35511">
        <w:rPr>
          <w:rFonts w:ascii="Calibri" w:eastAsia="Calibri" w:hAnsi="Calibri" w:cs="Calibri"/>
          <w:color w:val="040C28"/>
          <w:sz w:val="22"/>
          <w:szCs w:val="22"/>
        </w:rPr>
        <w:t>Dyrektywa NIS 2</w:t>
      </w:r>
      <w:r w:rsidRPr="00F35511">
        <w:rPr>
          <w:rFonts w:ascii="Calibri" w:eastAsia="Calibri" w:hAnsi="Calibri" w:cs="Calibri"/>
          <w:color w:val="202124"/>
          <w:sz w:val="22"/>
          <w:szCs w:val="22"/>
        </w:rPr>
        <w:t xml:space="preserve"> wymusza na firmach konieczność wdrożenia strategii zarządzania ryzykiem. W praktyce oznacza to, że firma musi zabezpieczyć swoje systemy komputerowe</w:t>
      </w:r>
      <w:r w:rsidR="002A670C" w:rsidRPr="00F35511">
        <w:rPr>
          <w:rFonts w:ascii="Calibri" w:eastAsia="Calibri" w:hAnsi="Calibri" w:cs="Calibri"/>
          <w:color w:val="202124"/>
          <w:sz w:val="22"/>
          <w:szCs w:val="22"/>
        </w:rPr>
        <w:t>, procesy bezpieczeństwa oraz wiedzę swoich pracowników</w:t>
      </w:r>
      <w:r w:rsidRPr="00F35511">
        <w:rPr>
          <w:rFonts w:ascii="Calibri" w:eastAsia="Calibri" w:hAnsi="Calibri" w:cs="Calibri"/>
          <w:color w:val="202124"/>
          <w:sz w:val="22"/>
          <w:szCs w:val="22"/>
        </w:rPr>
        <w:t xml:space="preserve"> na tyle, by zapewnić funkcjonowanie i odpowiednio szybką reakcję w przypadku ataku hakerskiego. Nowoczesne systemy antywirusowe, czy usługi firm specjalizujących się w cyberbezpiecze</w:t>
      </w:r>
      <w:r w:rsidR="00045B39" w:rsidRPr="00F35511">
        <w:rPr>
          <w:rFonts w:ascii="Calibri" w:eastAsia="Calibri" w:hAnsi="Calibri" w:cs="Calibri"/>
          <w:color w:val="202124"/>
          <w:sz w:val="22"/>
          <w:szCs w:val="22"/>
        </w:rPr>
        <w:t>ńs</w:t>
      </w:r>
      <w:r w:rsidRPr="00F35511">
        <w:rPr>
          <w:rFonts w:ascii="Calibri" w:eastAsia="Calibri" w:hAnsi="Calibri" w:cs="Calibri"/>
          <w:color w:val="202124"/>
          <w:sz w:val="22"/>
          <w:szCs w:val="22"/>
        </w:rPr>
        <w:t xml:space="preserve">twie mogą pomóc firmie w spełnieniu wymogów NIS 2. </w:t>
      </w:r>
    </w:p>
    <w:p w14:paraId="419B60EE" w14:textId="0E8644FB" w:rsidR="472F73A8" w:rsidRPr="00F35511" w:rsidRDefault="472F73A8" w:rsidP="472F73A8">
      <w:pPr>
        <w:pStyle w:val="paragraph"/>
        <w:shd w:val="clear" w:color="auto" w:fill="FFFFFF" w:themeFill="background1"/>
        <w:spacing w:before="0" w:beforeAutospacing="0" w:after="0" w:afterAutospacing="0"/>
        <w:rPr>
          <w:rFonts w:ascii="Calibri" w:eastAsia="Calibri" w:hAnsi="Calibri" w:cs="Calibri"/>
          <w:color w:val="202124"/>
          <w:sz w:val="22"/>
          <w:szCs w:val="22"/>
        </w:rPr>
      </w:pPr>
    </w:p>
    <w:p w14:paraId="7A43CC97" w14:textId="3A499EAF" w:rsidR="00D74D8D" w:rsidRPr="00F35511" w:rsidRDefault="00045B39" w:rsidP="00A365E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</w:pPr>
      <w:r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>Nowe przepisy u</w:t>
      </w:r>
      <w:r w:rsidR="00D74D8D"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 xml:space="preserve">nijne wskazują kogo dotyczyć będzie dyrektywa NIS 2. Transport kolejowy, drogowy, lotniczy oraz działalność prowadzona na terenie portów – to tylko niektóre sektory, które będą podlegać regulacjom. </w:t>
      </w:r>
      <w:r w:rsidR="00A53642"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 xml:space="preserve">Firmy muszą jednak pamiętać, że </w:t>
      </w:r>
      <w:r w:rsidR="00D826EA"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 xml:space="preserve">mogą podlegać pod dyrektywę także pośrednio – w chwili gdy są podwykonawcą podmiotu bezpośrednio pod nią podlegającego. </w:t>
      </w:r>
      <w:r w:rsidR="00D74D8D"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 xml:space="preserve">W przypadku gdy firmę obowiązywać będzie dyrektywa NIS 2 konieczne będzie: </w:t>
      </w:r>
    </w:p>
    <w:p w14:paraId="3ACB041E" w14:textId="77777777" w:rsidR="00623942" w:rsidRPr="00F35511" w:rsidRDefault="00623942" w:rsidP="00623942">
      <w:pPr>
        <w:pStyle w:val="pf0"/>
        <w:numPr>
          <w:ilvl w:val="0"/>
          <w:numId w:val="11"/>
        </w:numPr>
        <w:rPr>
          <w:rStyle w:val="cf01"/>
          <w:rFonts w:ascii="Calibri" w:hAnsi="Calibri" w:cs="Calibri"/>
          <w:sz w:val="22"/>
          <w:szCs w:val="22"/>
        </w:rPr>
      </w:pPr>
      <w:r w:rsidRPr="00F35511">
        <w:rPr>
          <w:rStyle w:val="cf01"/>
          <w:rFonts w:ascii="Calibri" w:eastAsiaTheme="majorEastAsia" w:hAnsi="Calibri" w:cs="Calibri"/>
          <w:sz w:val="22"/>
          <w:szCs w:val="22"/>
        </w:rPr>
        <w:t>Każde przedsiębiorstwo musi samo określić czy podlega pod normy NIS2</w:t>
      </w:r>
    </w:p>
    <w:p w14:paraId="489405AA" w14:textId="77777777" w:rsidR="00623942" w:rsidRPr="00F35511" w:rsidRDefault="00D74D8D" w:rsidP="00623942">
      <w:pPr>
        <w:pStyle w:val="pf0"/>
        <w:numPr>
          <w:ilvl w:val="0"/>
          <w:numId w:val="11"/>
        </w:numPr>
        <w:rPr>
          <w:rStyle w:val="normaltextrun"/>
          <w:rFonts w:ascii="Calibri" w:hAnsi="Calibri" w:cs="Calibri"/>
          <w:sz w:val="22"/>
          <w:szCs w:val="22"/>
        </w:rPr>
      </w:pPr>
      <w:r w:rsidRPr="00F35511">
        <w:rPr>
          <w:rStyle w:val="normaltextrun"/>
          <w:rFonts w:ascii="Calibri" w:eastAsiaTheme="majorEastAsia" w:hAnsi="Calibri" w:cs="Calibri"/>
          <w:color w:val="202124"/>
          <w:sz w:val="22"/>
          <w:szCs w:val="22"/>
        </w:rPr>
        <w:t>Przeprowadzenie oceny ryzyka (analiza bezpieczeństwa systemów, dobranie środków bezpieczeństwa, zadbanie o bezpieczeństwo łańcucha dostaw)</w:t>
      </w:r>
    </w:p>
    <w:p w14:paraId="43B7F7DF" w14:textId="7CCC0786" w:rsidR="00623942" w:rsidRPr="00F35511" w:rsidRDefault="00D74D8D" w:rsidP="00623942">
      <w:pPr>
        <w:pStyle w:val="pf0"/>
        <w:numPr>
          <w:ilvl w:val="0"/>
          <w:numId w:val="11"/>
        </w:numPr>
        <w:rPr>
          <w:rStyle w:val="normaltextrun"/>
          <w:rFonts w:ascii="Calibri" w:hAnsi="Calibri" w:cs="Calibri"/>
          <w:sz w:val="22"/>
          <w:szCs w:val="22"/>
        </w:rPr>
      </w:pPr>
      <w:r w:rsidRPr="00F35511">
        <w:rPr>
          <w:rStyle w:val="normaltextrun"/>
          <w:rFonts w:ascii="Calibri" w:eastAsiaTheme="majorEastAsia" w:hAnsi="Calibri" w:cs="Calibri"/>
          <w:color w:val="202124"/>
          <w:sz w:val="22"/>
          <w:szCs w:val="22"/>
        </w:rPr>
        <w:t>Wypracowanie systemu zgłaszania incydentów</w:t>
      </w:r>
    </w:p>
    <w:p w14:paraId="135B699A" w14:textId="00FDD9EB" w:rsidR="00430576" w:rsidRPr="00F35511" w:rsidRDefault="6D2C8BC5" w:rsidP="6D2C8BC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02124"/>
          <w:sz w:val="22"/>
          <w:szCs w:val="22"/>
        </w:rPr>
      </w:pPr>
      <w:r w:rsidRPr="00F35511">
        <w:rPr>
          <w:rStyle w:val="normaltextrun"/>
          <w:rFonts w:ascii="Calibri" w:eastAsiaTheme="majorEastAsia" w:hAnsi="Calibri" w:cs="Calibri"/>
          <w:color w:val="202124"/>
          <w:sz w:val="22"/>
          <w:szCs w:val="22"/>
        </w:rPr>
        <w:t>W terminie 2 miesięcy od wejścia w życie ustawy, firma będzie musiała zgłosić, że pod nią podlega.</w:t>
      </w:r>
      <w:r w:rsidR="00B16251" w:rsidRPr="00F35511">
        <w:rPr>
          <w:rStyle w:val="normaltextrun"/>
          <w:rFonts w:ascii="Calibri" w:eastAsiaTheme="majorEastAsia" w:hAnsi="Calibri" w:cs="Calibri"/>
          <w:color w:val="202124"/>
          <w:sz w:val="22"/>
          <w:szCs w:val="22"/>
        </w:rPr>
        <w:t xml:space="preserve"> </w:t>
      </w:r>
      <w:r w:rsidRPr="00F35511">
        <w:rPr>
          <w:rStyle w:val="normaltextrun"/>
          <w:rFonts w:ascii="Calibri" w:eastAsiaTheme="majorEastAsia" w:hAnsi="Calibri" w:cs="Calibri"/>
          <w:color w:val="202124"/>
          <w:sz w:val="22"/>
          <w:szCs w:val="22"/>
        </w:rPr>
        <w:t>Dalej w ciągu pół roku konieczne będzie wypełnienie wszystkich wymogów, a po roku przeprowadzenie pierwszego audyt</w:t>
      </w:r>
      <w:r w:rsidR="00525E10" w:rsidRPr="00F35511">
        <w:rPr>
          <w:rStyle w:val="normaltextrun"/>
          <w:rFonts w:ascii="Calibri" w:eastAsiaTheme="majorEastAsia" w:hAnsi="Calibri" w:cs="Calibri"/>
          <w:color w:val="202124"/>
          <w:sz w:val="22"/>
          <w:szCs w:val="22"/>
        </w:rPr>
        <w:t>u bezpieczeństwa.</w:t>
      </w:r>
      <w:r w:rsidR="00B16251" w:rsidRPr="00F35511">
        <w:rPr>
          <w:rStyle w:val="normaltextrun"/>
          <w:rFonts w:ascii="Calibri" w:eastAsiaTheme="majorEastAsia" w:hAnsi="Calibri" w:cs="Calibri"/>
          <w:color w:val="202124"/>
          <w:sz w:val="22"/>
          <w:szCs w:val="22"/>
        </w:rPr>
        <w:t xml:space="preserve"> </w:t>
      </w:r>
      <w:r w:rsidRPr="00F35511">
        <w:rPr>
          <w:rStyle w:val="normaltextrun"/>
          <w:rFonts w:ascii="Calibri" w:eastAsiaTheme="majorEastAsia" w:hAnsi="Calibri" w:cs="Calibri"/>
          <w:color w:val="040C28"/>
          <w:sz w:val="22"/>
          <w:szCs w:val="22"/>
        </w:rPr>
        <w:t>Ataki na systemy logistyczne mogą przybierać formę złośliwego oprogramowania, które infekuje systemy IT, zakłócając ich działanie</w:t>
      </w:r>
      <w:r w:rsidRPr="00F35511">
        <w:rPr>
          <w:rStyle w:val="normaltextrun"/>
          <w:rFonts w:ascii="Calibri" w:eastAsiaTheme="majorEastAsia" w:hAnsi="Calibri" w:cs="Calibri"/>
          <w:color w:val="202124"/>
          <w:sz w:val="22"/>
          <w:szCs w:val="22"/>
        </w:rPr>
        <w:t xml:space="preserve">. </w:t>
      </w:r>
      <w:r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>–</w:t>
      </w:r>
      <w:r w:rsidRPr="00F35511">
        <w:rPr>
          <w:rStyle w:val="normaltextrun"/>
          <w:rFonts w:ascii="Calibri" w:eastAsiaTheme="majorEastAsia" w:hAnsi="Calibri" w:cs="Calibri"/>
          <w:i/>
          <w:iCs/>
          <w:color w:val="202124"/>
          <w:sz w:val="22"/>
          <w:szCs w:val="22"/>
        </w:rPr>
        <w:t xml:space="preserve"> Takie oprogramowanie, wpuszczone w </w:t>
      </w:r>
      <w:r w:rsidR="00AF1C1E" w:rsidRPr="00F35511">
        <w:rPr>
          <w:rStyle w:val="normaltextrun"/>
          <w:rFonts w:ascii="Calibri" w:eastAsiaTheme="majorEastAsia" w:hAnsi="Calibri" w:cs="Calibri"/>
          <w:i/>
          <w:iCs/>
          <w:color w:val="202124"/>
          <w:sz w:val="22"/>
          <w:szCs w:val="22"/>
        </w:rPr>
        <w:t xml:space="preserve">otoczenie </w:t>
      </w:r>
      <w:r w:rsidR="00E57905" w:rsidRPr="00F35511">
        <w:rPr>
          <w:rStyle w:val="normaltextrun"/>
          <w:rFonts w:ascii="Calibri" w:eastAsiaTheme="majorEastAsia" w:hAnsi="Calibri" w:cs="Calibri"/>
          <w:i/>
          <w:iCs/>
          <w:color w:val="202124"/>
          <w:sz w:val="22"/>
          <w:szCs w:val="22"/>
        </w:rPr>
        <w:t>informatyczne</w:t>
      </w:r>
      <w:r w:rsidR="00B16251" w:rsidRPr="00F35511">
        <w:rPr>
          <w:rStyle w:val="normaltextrun"/>
          <w:rFonts w:ascii="Calibri" w:eastAsiaTheme="majorEastAsia" w:hAnsi="Calibri" w:cs="Calibri"/>
          <w:i/>
          <w:iCs/>
          <w:color w:val="202124"/>
          <w:sz w:val="22"/>
          <w:szCs w:val="22"/>
        </w:rPr>
        <w:t xml:space="preserve">, </w:t>
      </w:r>
      <w:r w:rsidRPr="00F35511">
        <w:rPr>
          <w:rStyle w:val="normaltextrun"/>
          <w:rFonts w:ascii="Calibri" w:eastAsiaTheme="majorEastAsia" w:hAnsi="Calibri" w:cs="Calibri"/>
          <w:i/>
          <w:iCs/>
          <w:color w:val="202124"/>
          <w:sz w:val="22"/>
          <w:szCs w:val="22"/>
        </w:rPr>
        <w:t xml:space="preserve">może prowadzić do paraliżu operacyjnego, opóźnień w </w:t>
      </w:r>
      <w:r w:rsidR="00E57905" w:rsidRPr="00F35511">
        <w:rPr>
          <w:rStyle w:val="normaltextrun"/>
          <w:rFonts w:ascii="Calibri" w:eastAsiaTheme="majorEastAsia" w:hAnsi="Calibri" w:cs="Calibri"/>
          <w:i/>
          <w:iCs/>
          <w:color w:val="202124"/>
          <w:sz w:val="22"/>
          <w:szCs w:val="22"/>
        </w:rPr>
        <w:t>łańcuchu dostaw</w:t>
      </w:r>
      <w:r w:rsidRPr="00F35511">
        <w:rPr>
          <w:rStyle w:val="normaltextrun"/>
          <w:rFonts w:ascii="Calibri" w:eastAsiaTheme="majorEastAsia" w:hAnsi="Calibri" w:cs="Calibri"/>
          <w:i/>
          <w:iCs/>
          <w:color w:val="202124"/>
          <w:sz w:val="22"/>
          <w:szCs w:val="22"/>
        </w:rPr>
        <w:t xml:space="preserve"> i w konsekwencji do ogromnych strat finansowych </w:t>
      </w:r>
      <w:r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 xml:space="preserve">– </w:t>
      </w:r>
      <w:r w:rsidRPr="00F35511">
        <w:rPr>
          <w:rStyle w:val="normaltextrun"/>
          <w:rFonts w:ascii="Calibri" w:eastAsiaTheme="majorEastAsia" w:hAnsi="Calibri" w:cs="Calibri"/>
          <w:color w:val="202124"/>
          <w:sz w:val="22"/>
          <w:szCs w:val="22"/>
        </w:rPr>
        <w:t xml:space="preserve">mówi Joanna Porath, właścicielka agencji celnej AC Porath. </w:t>
      </w:r>
    </w:p>
    <w:p w14:paraId="4E580CBD" w14:textId="77777777" w:rsidR="00430576" w:rsidRPr="00F35511" w:rsidRDefault="00430576" w:rsidP="0043057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202124"/>
          <w:sz w:val="22"/>
          <w:szCs w:val="22"/>
        </w:rPr>
      </w:pPr>
    </w:p>
    <w:p w14:paraId="4B82D04B" w14:textId="0ABB6C41" w:rsidR="00430576" w:rsidRPr="00F35511" w:rsidRDefault="6D2C8BC5" w:rsidP="6D2C8BC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35511">
        <w:rPr>
          <w:rFonts w:ascii="Calibri" w:hAnsi="Calibri" w:cs="Calibri"/>
          <w:color w:val="000000" w:themeColor="text1"/>
          <w:sz w:val="22"/>
          <w:szCs w:val="22"/>
        </w:rPr>
        <w:t>,,W Polsce skala cyberataków po wybuchu wojny w Ukrainie była bardziej odczuwalna. Zgodnie z danymi CyberPeace Institute, Polska jest najczęstszym celem cyberataków na sektor transportowy związanych z ukraińsko-rosyjski konfliktem. Od początku wojny odnotowano ok. 70 takich zdarzeń, co stawia nas w niechlubnej, światowej czołówce’’ – czytamy w artykule Logistyka.net.pl.</w:t>
      </w:r>
    </w:p>
    <w:p w14:paraId="4FE40FEB" w14:textId="77777777" w:rsidR="00901ABC" w:rsidRPr="00F35511" w:rsidRDefault="00901ABC" w:rsidP="0043057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C198917" w14:textId="1FEF8FD4" w:rsidR="00901ABC" w:rsidRPr="00F35511" w:rsidRDefault="00901ABC" w:rsidP="0043057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35511">
        <w:rPr>
          <w:rFonts w:ascii="Calibri" w:hAnsi="Calibri" w:cs="Calibri"/>
          <w:color w:val="000000"/>
          <w:sz w:val="22"/>
          <w:szCs w:val="22"/>
        </w:rPr>
        <w:t xml:space="preserve">Przykładem jednego z bardziej głośnych cyberataków </w:t>
      </w:r>
      <w:r w:rsidR="009E712E" w:rsidRPr="00F35511">
        <w:rPr>
          <w:rFonts w:ascii="Calibri" w:hAnsi="Calibri" w:cs="Calibri"/>
          <w:color w:val="000000"/>
          <w:sz w:val="22"/>
          <w:szCs w:val="22"/>
        </w:rPr>
        <w:t xml:space="preserve">jest </w:t>
      </w:r>
      <w:r w:rsidR="009E712E" w:rsidRPr="00F3551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atak</w:t>
      </w:r>
      <w:r w:rsidRPr="00F3551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hakerski na firmę Maersk w 2017 roku. Wówczas systemy zostały zainfekowane przez złośliwe oprogramowanie, co spowodowało paraliż operacji firmy, odpowiadającej za niemal jedną piątą rynku morskiego w zakresie transportowym. Przywrócenie systemów do pełnej sprawności zajęło aż dwa tygodnie, a straty z tytułu ataku oszacowano na około 300 mln dolarów. Drugim przykładem jest atak na firmę z Oslo, który miał miejsce w styczniu w 2023 roku. Wówczas mimo wyłączenia serwerów przez zespół IT, atak objął 70 klientów i 1000 statków. Blokada systemów online na statkach uniemożliwiła </w:t>
      </w:r>
      <w:r w:rsidR="009E712E" w:rsidRPr="00F3551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sprawną pracę firmy</w:t>
      </w:r>
      <w:r w:rsidRPr="00F3551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na ok. 2 miesiące.</w:t>
      </w:r>
    </w:p>
    <w:p w14:paraId="446D6BCB" w14:textId="57B6F979" w:rsidR="00045B39" w:rsidRPr="00F35511" w:rsidRDefault="00045B39" w:rsidP="0043057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A49D27D" w14:textId="44A5F576" w:rsidR="00045B39" w:rsidRPr="00F35511" w:rsidRDefault="00B61502" w:rsidP="00045B39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3551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lastRenderedPageBreak/>
        <w:t>–</w:t>
      </w:r>
      <w:r w:rsidR="00045B39" w:rsidRPr="00F3551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045B39" w:rsidRPr="00F35511">
        <w:rPr>
          <w:rFonts w:ascii="Calibri" w:eastAsia="Times New Roman" w:hAnsi="Calibri" w:cs="Calibri"/>
          <w:i/>
          <w:kern w:val="0"/>
          <w:sz w:val="22"/>
          <w:szCs w:val="22"/>
          <w:lang w:eastAsia="pl-PL"/>
          <w14:ligatures w14:val="none"/>
        </w:rPr>
        <w:t xml:space="preserve">Te przykłady pokazują, że ataki hakerskie są i będą dużym zagrożeniem dla logistyki, co może być ogromnym wyzwaniem, szczególnie dla hubów przeładunkowych i dużych centrów logistycznych. Obecnie symptomy cyberataków są nam znane i potrafimy im przeciwdziałać, trzeba jednak pamiętać, że rozwój sztucznej inteligencji może generować nowe zagrożenia. Najbardziej niebezpieczne </w:t>
      </w:r>
      <w:r w:rsidR="009C2CFA" w:rsidRPr="00F35511">
        <w:rPr>
          <w:rFonts w:ascii="Calibri" w:eastAsia="Times New Roman" w:hAnsi="Calibri" w:cs="Calibri"/>
          <w:i/>
          <w:kern w:val="0"/>
          <w:sz w:val="22"/>
          <w:szCs w:val="22"/>
          <w:lang w:eastAsia="pl-PL"/>
          <w14:ligatures w14:val="none"/>
        </w:rPr>
        <w:t>są te</w:t>
      </w:r>
      <w:r w:rsidR="00045B39" w:rsidRPr="00F35511">
        <w:rPr>
          <w:rFonts w:ascii="Calibri" w:eastAsia="Times New Roman" w:hAnsi="Calibri" w:cs="Calibri"/>
          <w:i/>
          <w:kern w:val="0"/>
          <w:sz w:val="22"/>
          <w:szCs w:val="22"/>
          <w:lang w:eastAsia="pl-PL"/>
          <w14:ligatures w14:val="none"/>
        </w:rPr>
        <w:t xml:space="preserve">, </w:t>
      </w:r>
      <w:r w:rsidR="009C2CFA" w:rsidRPr="00F35511">
        <w:rPr>
          <w:rFonts w:ascii="Calibri" w:eastAsia="Times New Roman" w:hAnsi="Calibri" w:cs="Calibri"/>
          <w:i/>
          <w:kern w:val="0"/>
          <w:sz w:val="22"/>
          <w:szCs w:val="22"/>
          <w:lang w:eastAsia="pl-PL"/>
          <w14:ligatures w14:val="none"/>
        </w:rPr>
        <w:t>które są</w:t>
      </w:r>
      <w:r w:rsidR="00045B39" w:rsidRPr="00F35511">
        <w:rPr>
          <w:rFonts w:ascii="Calibri" w:eastAsia="Times New Roman" w:hAnsi="Calibri" w:cs="Calibri"/>
          <w:i/>
          <w:kern w:val="0"/>
          <w:sz w:val="22"/>
          <w:szCs w:val="22"/>
          <w:lang w:eastAsia="pl-PL"/>
          <w14:ligatures w14:val="none"/>
        </w:rPr>
        <w:t xml:space="preserve"> nieznane. Wyobraźmy sobie sytuację, że operator systemu zleceń transportowych zamawia 10 plandek. W systemie wszystko się zgadza, a na załadunek podjeżdża 50 plandek. Dochodzi do zakłócenia jednego elementu łańcucha dostaw, który ma wpływ na kolejne</w:t>
      </w:r>
      <w:r w:rsidR="00045B39" w:rsidRPr="00F3551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– wyjaśnia dr inż. Rajmund Smolarczyk, specjalista do spraw bezpieczeństwa państwa, wykładowca Katedry Bezpieczeństwa na Wydziale Prawa i Administracji W</w:t>
      </w:r>
      <w:r w:rsidRPr="00F3551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SAiB w Gdyni.</w:t>
      </w:r>
    </w:p>
    <w:p w14:paraId="152655A8" w14:textId="272EF19D" w:rsidR="00430576" w:rsidRPr="00F35511" w:rsidRDefault="00430576" w:rsidP="0043057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11BBD95" w14:textId="16F752A7" w:rsidR="00045B39" w:rsidRPr="00F35511" w:rsidRDefault="00045B39" w:rsidP="6D2C8BC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F35511">
        <w:rPr>
          <w:rFonts w:ascii="Calibri" w:hAnsi="Calibri" w:cs="Calibri"/>
          <w:color w:val="000000" w:themeColor="text1"/>
          <w:sz w:val="22"/>
          <w:szCs w:val="22"/>
        </w:rPr>
        <w:t>W 2023 roku liczba cyberataków w Polsce wzrosła do 8</w:t>
      </w:r>
      <w:r w:rsidR="006169F0">
        <w:rPr>
          <w:rFonts w:ascii="Calibri" w:hAnsi="Calibri" w:cs="Calibri"/>
          <w:color w:val="000000" w:themeColor="text1"/>
          <w:sz w:val="22"/>
          <w:szCs w:val="22"/>
        </w:rPr>
        <w:t>0 proc</w:t>
      </w:r>
      <w:r w:rsidRPr="00F3551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6D2C8BC5" w:rsidRPr="00F35511">
        <w:rPr>
          <w:rFonts w:ascii="Calibri" w:hAnsi="Calibri" w:cs="Calibri"/>
          <w:color w:val="000000" w:themeColor="text1"/>
          <w:sz w:val="22"/>
          <w:szCs w:val="22"/>
        </w:rPr>
        <w:t>Do najczęstszych metod cyberataków w branży l</w:t>
      </w:r>
      <w:r w:rsidRPr="00F35511">
        <w:rPr>
          <w:rFonts w:ascii="Calibri" w:hAnsi="Calibri" w:cs="Calibri"/>
          <w:color w:val="000000" w:themeColor="text1"/>
          <w:sz w:val="22"/>
          <w:szCs w:val="22"/>
        </w:rPr>
        <w:t>ogistycznej zalicza się m.in.: p</w:t>
      </w:r>
      <w:r w:rsidR="6D2C8BC5" w:rsidRPr="00F35511">
        <w:rPr>
          <w:rFonts w:ascii="Calibri" w:hAnsi="Calibri" w:cs="Calibri"/>
          <w:color w:val="000000" w:themeColor="text1"/>
          <w:sz w:val="22"/>
          <w:szCs w:val="22"/>
        </w:rPr>
        <w:t>hishing</w:t>
      </w:r>
      <w:r w:rsidRPr="00F3551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6D2C8BC5" w:rsidRPr="00F35511">
        <w:rPr>
          <w:rFonts w:ascii="Calibri" w:hAnsi="Calibri" w:cs="Calibri"/>
          <w:color w:val="000000" w:themeColor="text1"/>
          <w:sz w:val="22"/>
          <w:szCs w:val="22"/>
        </w:rPr>
        <w:t xml:space="preserve"> czyli podszywanie się pod znaną nam instytucję w celu wydobycia kluczowych informacji lub ataki DDoS polegające na zarzuceniu systemu komputerowego z wielu miejsc jednocześnie. </w:t>
      </w:r>
      <w:bookmarkEnd w:id="0"/>
      <w:r w:rsidR="6D2C8BC5" w:rsidRPr="00F35511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>–</w:t>
      </w:r>
      <w:r w:rsidR="6D2C8BC5" w:rsidRPr="00F3551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Takie działania mogą zablokować możliwość przeprowadzenia procesów związanych z zamówieniami czy transportem logistycznym. Firmy, które nie aktualizują oprogramowania, nie sprawdzają systemów są najbardziej narażone na ataki. Kluczowa jest świadomość pracowników, dzięki której będą wiedzieć w jaki sposób postąpić, gdy do takiego</w:t>
      </w:r>
      <w:r w:rsidRPr="00F3551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ataku już dojdzie</w:t>
      </w:r>
      <w:r w:rsidR="6D2C8BC5" w:rsidRPr="00F3551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6D2C8BC5" w:rsidRPr="00F35511">
        <w:rPr>
          <w:rFonts w:ascii="Calibri" w:hAnsi="Calibri" w:cs="Calibri"/>
          <w:iCs/>
          <w:color w:val="000000" w:themeColor="text1"/>
          <w:sz w:val="22"/>
          <w:szCs w:val="22"/>
        </w:rPr>
        <w:t>– dodaje Joanna Porath, właścicielka agencji celnej AC Porath.</w:t>
      </w:r>
      <w:r w:rsidR="6D2C8BC5" w:rsidRPr="00F3551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</w:p>
    <w:p w14:paraId="5BF4D9E5" w14:textId="77777777" w:rsidR="00045B39" w:rsidRPr="00F35511" w:rsidRDefault="00045B39" w:rsidP="6D2C8BC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650C702D" w14:textId="70753CC0" w:rsidR="00045B39" w:rsidRPr="004F4DD4" w:rsidRDefault="00045B39" w:rsidP="6D2C8BC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000000"/>
          <w:sz w:val="28"/>
          <w:szCs w:val="28"/>
        </w:rPr>
      </w:pPr>
    </w:p>
    <w:sectPr w:rsidR="00045B39" w:rsidRPr="004F4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uSi8s8J4Gn86f" int2:id="Og3SK5Hb">
      <int2:state int2:value="Rejected" int2:type="AugLoop_Text_Critique"/>
    </int2:textHash>
    <int2:textHash int2:hashCode="MBIPbdmYtCyt1Y" int2:id="a345HX4K">
      <int2:state int2:value="Rejected" int2:type="AugLoop_Text_Critique"/>
    </int2:textHash>
    <int2:textHash int2:hashCode="VwJBJbjYw/bWn5" int2:id="YaFeax5G">
      <int2:state int2:value="Rejected" int2:type="AugLoop_Text_Critique"/>
    </int2:textHash>
    <int2:textHash int2:hashCode="sClFdLw/qvnGWN" int2:id="w4sitx7B">
      <int2:state int2:value="Rejected" int2:type="AugLoop_Text_Critique"/>
    </int2:textHash>
    <int2:textHash int2:hashCode="MtRNxktWzJcWmn" int2:id="8BdpYWEf">
      <int2:state int2:value="Rejected" int2:type="AugLoop_Text_Critique"/>
    </int2:textHash>
    <int2:textHash int2:hashCode="xy5PPzV7b9nzLv" int2:id="ObKgSu4v">
      <int2:state int2:value="Rejected" int2:type="AugLoop_Text_Critique"/>
    </int2:textHash>
    <int2:textHash int2:hashCode="duX5GmqTJxOYgJ" int2:id="f0o1yR58">
      <int2:state int2:value="Rejected" int2:type="AugLoop_Text_Critique"/>
    </int2:textHash>
    <int2:textHash int2:hashCode="Z6TnVdurj2mupT" int2:id="57rXv3PY">
      <int2:state int2:value="Rejected" int2:type="AugLoop_Text_Critique"/>
    </int2:textHash>
    <int2:textHash int2:hashCode="vbxn2/xA3cvk/m" int2:id="0803EJKS">
      <int2:state int2:value="Rejected" int2:type="AugLoop_Text_Critique"/>
    </int2:textHash>
    <int2:textHash int2:hashCode="LHn8wkxAZ4pf29" int2:id="De74iil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6B8D"/>
    <w:multiLevelType w:val="hybridMultilevel"/>
    <w:tmpl w:val="7B24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20AA"/>
    <w:multiLevelType w:val="hybridMultilevel"/>
    <w:tmpl w:val="B3DCA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7668"/>
    <w:multiLevelType w:val="multilevel"/>
    <w:tmpl w:val="B15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4F358C"/>
    <w:multiLevelType w:val="multilevel"/>
    <w:tmpl w:val="F876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EE4740"/>
    <w:multiLevelType w:val="multilevel"/>
    <w:tmpl w:val="30EE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060EDF"/>
    <w:multiLevelType w:val="hybridMultilevel"/>
    <w:tmpl w:val="45486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75A5A"/>
    <w:multiLevelType w:val="multilevel"/>
    <w:tmpl w:val="1176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F35438"/>
    <w:multiLevelType w:val="multilevel"/>
    <w:tmpl w:val="58A2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0F0071"/>
    <w:multiLevelType w:val="multilevel"/>
    <w:tmpl w:val="17D0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232C2C"/>
    <w:multiLevelType w:val="multilevel"/>
    <w:tmpl w:val="8738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7272C9"/>
    <w:multiLevelType w:val="hybridMultilevel"/>
    <w:tmpl w:val="93DC0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14916">
    <w:abstractNumId w:val="7"/>
  </w:num>
  <w:num w:numId="2" w16cid:durableId="1307004058">
    <w:abstractNumId w:val="9"/>
  </w:num>
  <w:num w:numId="3" w16cid:durableId="1008870170">
    <w:abstractNumId w:val="4"/>
  </w:num>
  <w:num w:numId="4" w16cid:durableId="706029134">
    <w:abstractNumId w:val="1"/>
  </w:num>
  <w:num w:numId="5" w16cid:durableId="394545054">
    <w:abstractNumId w:val="10"/>
  </w:num>
  <w:num w:numId="6" w16cid:durableId="494879917">
    <w:abstractNumId w:val="0"/>
  </w:num>
  <w:num w:numId="7" w16cid:durableId="1043359457">
    <w:abstractNumId w:val="8"/>
  </w:num>
  <w:num w:numId="8" w16cid:durableId="220558738">
    <w:abstractNumId w:val="3"/>
  </w:num>
  <w:num w:numId="9" w16cid:durableId="1435125533">
    <w:abstractNumId w:val="2"/>
  </w:num>
  <w:num w:numId="10" w16cid:durableId="1004092134">
    <w:abstractNumId w:val="6"/>
  </w:num>
  <w:num w:numId="11" w16cid:durableId="413360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8D"/>
    <w:rsid w:val="00045B39"/>
    <w:rsid w:val="00075844"/>
    <w:rsid w:val="00086DA5"/>
    <w:rsid w:val="001550A0"/>
    <w:rsid w:val="0019311D"/>
    <w:rsid w:val="00217681"/>
    <w:rsid w:val="00255AD4"/>
    <w:rsid w:val="002A670C"/>
    <w:rsid w:val="002F34BE"/>
    <w:rsid w:val="00430576"/>
    <w:rsid w:val="004430DE"/>
    <w:rsid w:val="004F4DD4"/>
    <w:rsid w:val="00525E10"/>
    <w:rsid w:val="006133E0"/>
    <w:rsid w:val="006169F0"/>
    <w:rsid w:val="00623942"/>
    <w:rsid w:val="006A521B"/>
    <w:rsid w:val="006E5F92"/>
    <w:rsid w:val="00744A68"/>
    <w:rsid w:val="008A142A"/>
    <w:rsid w:val="008E5BF6"/>
    <w:rsid w:val="00901ABC"/>
    <w:rsid w:val="00944739"/>
    <w:rsid w:val="009C2CFA"/>
    <w:rsid w:val="009E712E"/>
    <w:rsid w:val="00A365E1"/>
    <w:rsid w:val="00A53642"/>
    <w:rsid w:val="00AF1C1E"/>
    <w:rsid w:val="00B16251"/>
    <w:rsid w:val="00B32FB1"/>
    <w:rsid w:val="00B61502"/>
    <w:rsid w:val="00D74D8D"/>
    <w:rsid w:val="00D826EA"/>
    <w:rsid w:val="00E57905"/>
    <w:rsid w:val="00E64983"/>
    <w:rsid w:val="00F35511"/>
    <w:rsid w:val="1D082DF4"/>
    <w:rsid w:val="472F73A8"/>
    <w:rsid w:val="6D2C8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304A"/>
  <w15:chartTrackingRefBased/>
  <w15:docId w15:val="{246AE97F-7A4A-4AE9-9B39-D4E9BF1F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4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4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4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4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4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4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4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4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4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4D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4D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4D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4D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4D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4D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4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4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4D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4D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4D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4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4D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4D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D7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D74D8D"/>
  </w:style>
  <w:style w:type="character" w:customStyle="1" w:styleId="eop">
    <w:name w:val="eop"/>
    <w:basedOn w:val="Domylnaczcionkaakapitu"/>
    <w:rsid w:val="00D74D8D"/>
  </w:style>
  <w:style w:type="paragraph" w:styleId="NormalnyWeb">
    <w:name w:val="Normal (Web)"/>
    <w:basedOn w:val="Normalny"/>
    <w:uiPriority w:val="99"/>
    <w:unhideWhenUsed/>
    <w:rsid w:val="0025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3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3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B39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ny"/>
    <w:rsid w:val="0062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62394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Mroz</dc:creator>
  <cp:keywords/>
  <dc:description/>
  <cp:lastModifiedBy>Aneta Mroz</cp:lastModifiedBy>
  <cp:revision>11</cp:revision>
  <dcterms:created xsi:type="dcterms:W3CDTF">2024-05-21T11:19:00Z</dcterms:created>
  <dcterms:modified xsi:type="dcterms:W3CDTF">2024-05-22T07:45:00Z</dcterms:modified>
</cp:coreProperties>
</file>