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3F058" w14:textId="77777777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val="en-GB" w:eastAsia="pl-PL"/>
        </w:rPr>
      </w:pP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8"/>
          <w:szCs w:val="28"/>
          <w:bdr w:val="none" w:sz="0" w:space="0" w:color="auto" w:frame="1"/>
          <w:lang w:val="en-GB" w:eastAsia="pl-PL"/>
        </w:rPr>
        <w:t>Probio</w:t>
      </w:r>
      <w:r w:rsidRPr="00805CD2">
        <w:rPr>
          <w:rFonts w:ascii="Tahoma" w:eastAsia="Times New Roman" w:hAnsi="Tahoma" w:cs="Tahoma"/>
          <w:b/>
          <w:bCs/>
          <w:i/>
          <w:iCs/>
          <w:color w:val="292929"/>
          <w:sz w:val="28"/>
          <w:szCs w:val="28"/>
          <w:bdr w:val="none" w:sz="0" w:space="0" w:color="auto" w:frame="1"/>
          <w:lang w:val="en-GB" w:eastAsia="pl-PL"/>
        </w:rPr>
        <w:t>Balance</w:t>
      </w:r>
      <w:proofErr w:type="spellEnd"/>
      <w:r w:rsidRPr="00805CD2">
        <w:rPr>
          <w:rFonts w:ascii="Tahoma" w:eastAsia="Times New Roman" w:hAnsi="Tahoma" w:cs="Tahoma"/>
          <w:b/>
          <w:bCs/>
          <w:color w:val="292929"/>
          <w:sz w:val="28"/>
          <w:szCs w:val="28"/>
          <w:bdr w:val="none" w:sz="0" w:space="0" w:color="auto" w:frame="1"/>
          <w:lang w:val="en-GB" w:eastAsia="pl-PL"/>
        </w:rPr>
        <w:t> by Aliness®</w:t>
      </w:r>
    </w:p>
    <w:p w14:paraId="2CD84C8B" w14:textId="77777777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val="en-GB"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8"/>
          <w:szCs w:val="28"/>
          <w:bdr w:val="none" w:sz="0" w:space="0" w:color="auto" w:frame="1"/>
          <w:lang w:val="en-GB" w:eastAsia="pl-PL"/>
        </w:rPr>
        <w:t> </w:t>
      </w:r>
    </w:p>
    <w:p w14:paraId="00FD2B8B" w14:textId="77777777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val="en-GB"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8"/>
          <w:szCs w:val="28"/>
          <w:bdr w:val="none" w:sz="0" w:space="0" w:color="auto" w:frame="1"/>
          <w:lang w:val="en-GB" w:eastAsia="pl-PL"/>
        </w:rPr>
        <w:t>WOMAN INTIMA </w:t>
      </w: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8"/>
          <w:szCs w:val="28"/>
          <w:bdr w:val="none" w:sz="0" w:space="0" w:color="auto" w:frame="1"/>
          <w:lang w:val="en-GB" w:eastAsia="pl-PL"/>
        </w:rPr>
        <w:t>Quatreflora</w:t>
      </w:r>
      <w:proofErr w:type="spellEnd"/>
    </w:p>
    <w:p w14:paraId="0B7C2C12" w14:textId="649640A9" w:rsidR="00805CD2" w:rsidRDefault="00805CD2" w:rsidP="00805CD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val="en-GB" w:eastAsia="pl-PL"/>
        </w:rPr>
      </w:pPr>
      <w:r w:rsidRPr="00805CD2">
        <w:rPr>
          <w:rFonts w:ascii="Arial" w:eastAsia="Times New Roman" w:hAnsi="Arial" w:cs="Arial"/>
          <w:color w:val="292929"/>
          <w:sz w:val="18"/>
          <w:szCs w:val="18"/>
          <w:lang w:val="en-GB" w:eastAsia="pl-PL"/>
        </w:rPr>
        <w:br/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val="en-GB" w:eastAsia="pl-PL"/>
        </w:rPr>
        <w:t xml:space="preserve">30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val="en-GB" w:eastAsia="pl-PL"/>
        </w:rPr>
        <w:t>kapsułek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val="en-GB" w:eastAsia="pl-PL"/>
        </w:rPr>
        <w:t xml:space="preserve"> Vege</w:t>
      </w:r>
    </w:p>
    <w:p w14:paraId="733B8DC0" w14:textId="4EB9F057" w:rsidR="00805CD2" w:rsidRDefault="00805CD2" w:rsidP="00805CD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val="en-GB" w:eastAsia="pl-PL"/>
        </w:rPr>
      </w:pPr>
    </w:p>
    <w:p w14:paraId="4E462188" w14:textId="193AFBB2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8"/>
          <w:szCs w:val="8"/>
          <w:lang w:val="en-GB" w:eastAsia="pl-PL"/>
        </w:rPr>
      </w:pPr>
      <w:r w:rsidRPr="00805CD2">
        <w:rPr>
          <w:rStyle w:val="price-name"/>
          <w:rFonts w:ascii="Arial" w:hAnsi="Arial" w:cs="Arial"/>
          <w:color w:val="A2A2A2"/>
          <w:sz w:val="18"/>
          <w:szCs w:val="18"/>
          <w:bdr w:val="none" w:sz="0" w:space="0" w:color="auto" w:frame="1"/>
          <w:shd w:val="clear" w:color="auto" w:fill="FFFFFF"/>
        </w:rPr>
        <w:t>Cena:</w:t>
      </w:r>
      <w:r w:rsidRPr="00805CD2">
        <w:rPr>
          <w:rFonts w:ascii="Arial" w:hAnsi="Arial" w:cs="Arial"/>
          <w:color w:val="292929"/>
          <w:sz w:val="8"/>
          <w:szCs w:val="8"/>
          <w:shd w:val="clear" w:color="auto" w:fill="FFFFFF"/>
        </w:rPr>
        <w:t> </w:t>
      </w:r>
      <w:r w:rsidRPr="00805CD2">
        <w:rPr>
          <w:rStyle w:val="Uwydatnienie"/>
          <w:rFonts w:ascii="Arial" w:hAnsi="Arial" w:cs="Arial"/>
          <w:i w:val="0"/>
          <w:iCs w:val="0"/>
          <w:color w:val="59AD38"/>
          <w:sz w:val="40"/>
          <w:szCs w:val="40"/>
          <w:bdr w:val="none" w:sz="0" w:space="0" w:color="auto" w:frame="1"/>
          <w:shd w:val="clear" w:color="auto" w:fill="FFFFFF"/>
        </w:rPr>
        <w:t>59,90 zł</w:t>
      </w:r>
    </w:p>
    <w:p w14:paraId="35B36756" w14:textId="77777777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val="en-GB"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val="en-GB" w:eastAsia="pl-PL"/>
        </w:rPr>
        <w:t> </w:t>
      </w:r>
    </w:p>
    <w:p w14:paraId="3E902772" w14:textId="77777777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val="en-GB" w:eastAsia="pl-PL"/>
        </w:rPr>
      </w:pP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val="en-GB" w:eastAsia="pl-PL"/>
        </w:rPr>
        <w:t>Suplement</w:t>
      </w:r>
      <w:proofErr w:type="spellEnd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val="en-GB" w:eastAsia="pl-PL"/>
        </w:rPr>
        <w:t xml:space="preserve"> </w:t>
      </w: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val="en-GB" w:eastAsia="pl-PL"/>
        </w:rPr>
        <w:t>diety</w:t>
      </w:r>
      <w:proofErr w:type="spellEnd"/>
    </w:p>
    <w:p w14:paraId="3B461070" w14:textId="4073A05F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val="en-GB"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val="en-GB" w:eastAsia="pl-PL"/>
        </w:rPr>
        <w:t> </w:t>
      </w:r>
      <w:r w:rsidRPr="00805CD2">
        <w:rPr>
          <w:rFonts w:ascii="Tahoma" w:eastAsia="Times New Roman" w:hAnsi="Tahoma" w:cs="Tahoma"/>
          <w:b/>
          <w:bCs/>
          <w:noProof/>
          <w:color w:val="292929"/>
          <w:sz w:val="24"/>
          <w:szCs w:val="24"/>
          <w:bdr w:val="none" w:sz="0" w:space="0" w:color="auto" w:frame="1"/>
          <w:lang w:eastAsia="pl-PL"/>
        </w:rPr>
        <w:drawing>
          <wp:inline distT="0" distB="0" distL="0" distR="0" wp14:anchorId="003024BD" wp14:editId="4B8B777C">
            <wp:extent cx="4944745" cy="2475865"/>
            <wp:effectExtent l="0" t="0" r="8255" b="635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4745" cy="2475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val="en-GB" w:eastAsia="pl-PL"/>
        </w:rPr>
        <w:t> </w:t>
      </w:r>
    </w:p>
    <w:p w14:paraId="09F1723B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val="en-GB"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val="en-GB" w:eastAsia="pl-PL"/>
        </w:rPr>
        <w:t> </w:t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val="en-GB" w:eastAsia="pl-PL"/>
        </w:rPr>
        <w:t> </w:t>
      </w:r>
    </w:p>
    <w:p w14:paraId="0EB7F73C" w14:textId="77777777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val="en-GB"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val="en-GB" w:eastAsia="pl-PL"/>
        </w:rPr>
        <w:t>WOMAN INTIMA</w:t>
      </w:r>
    </w:p>
    <w:p w14:paraId="42947C4F" w14:textId="11EEC7AC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b/>
          <w:bCs/>
          <w:noProof/>
          <w:color w:val="292929"/>
          <w:sz w:val="24"/>
          <w:szCs w:val="24"/>
          <w:bdr w:val="none" w:sz="0" w:space="0" w:color="auto" w:frame="1"/>
          <w:lang w:eastAsia="pl-PL"/>
        </w:rPr>
        <w:drawing>
          <wp:inline distT="0" distB="0" distL="0" distR="0" wp14:anchorId="51FE0FF2" wp14:editId="50100724">
            <wp:extent cx="3333750" cy="1012825"/>
            <wp:effectExtent l="0" t="0" r="0" b="0"/>
            <wp:docPr id="9" name="Obraz 9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braz 9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01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71AF6D" w14:textId="77777777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LIOFILIZOWANE DROŻDŻAKI</w:t>
      </w:r>
    </w:p>
    <w:p w14:paraId="0563C271" w14:textId="77777777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1 szczep.</w:t>
      </w:r>
      <w:r w:rsidRPr="00805CD2">
        <w:rPr>
          <w:rFonts w:ascii="Arial" w:eastAsia="Times New Roman" w:hAnsi="Arial" w:cs="Arial"/>
          <w:color w:val="292929"/>
          <w:sz w:val="18"/>
          <w:szCs w:val="18"/>
          <w:lang w:eastAsia="pl-PL"/>
        </w:rPr>
        <w:br/>
      </w: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2,5 mld żywych komórek drożdży</w:t>
      </w:r>
    </w:p>
    <w:p w14:paraId="5F27145C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0"/>
        <w:gridCol w:w="2130"/>
      </w:tblGrid>
      <w:tr w:rsidR="00805CD2" w:rsidRPr="00805CD2" w14:paraId="35A136B1" w14:textId="77777777" w:rsidTr="00805CD2"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44E6CF" w14:textId="77777777" w:rsidR="00805CD2" w:rsidRPr="00805CD2" w:rsidRDefault="00805CD2" w:rsidP="00805CD2">
            <w:pPr>
              <w:spacing w:after="0" w:line="240" w:lineRule="auto"/>
              <w:rPr>
                <w:rFonts w:ascii="Arial" w:eastAsia="Times New Roman" w:hAnsi="Arial" w:cs="Arial"/>
                <w:color w:val="292929"/>
                <w:sz w:val="18"/>
                <w:szCs w:val="18"/>
                <w:lang w:eastAsia="pl-PL"/>
              </w:rPr>
            </w:pPr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lang w:eastAsia="pl-PL"/>
              </w:rPr>
              <w:t>Składniki</w:t>
            </w:r>
          </w:p>
        </w:tc>
        <w:tc>
          <w:tcPr>
            <w:tcW w:w="2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5787C9" w14:textId="77777777" w:rsidR="00805CD2" w:rsidRPr="00805CD2" w:rsidRDefault="00805CD2" w:rsidP="00805CD2">
            <w:pPr>
              <w:spacing w:after="0" w:line="240" w:lineRule="auto"/>
              <w:rPr>
                <w:rFonts w:ascii="Arial" w:eastAsia="Times New Roman" w:hAnsi="Arial" w:cs="Arial"/>
                <w:color w:val="292929"/>
                <w:sz w:val="18"/>
                <w:szCs w:val="18"/>
                <w:lang w:eastAsia="pl-PL"/>
              </w:rPr>
            </w:pPr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lang w:eastAsia="pl-PL"/>
              </w:rPr>
              <w:t>1 kapsułka</w:t>
            </w:r>
          </w:p>
          <w:p w14:paraId="30011C23" w14:textId="77777777" w:rsidR="00805CD2" w:rsidRPr="00805CD2" w:rsidRDefault="00805CD2" w:rsidP="00805CD2">
            <w:pPr>
              <w:spacing w:after="0" w:line="240" w:lineRule="auto"/>
              <w:rPr>
                <w:rFonts w:ascii="Arial" w:eastAsia="Times New Roman" w:hAnsi="Arial" w:cs="Arial"/>
                <w:color w:val="292929"/>
                <w:sz w:val="18"/>
                <w:szCs w:val="18"/>
                <w:lang w:eastAsia="pl-PL"/>
              </w:rPr>
            </w:pPr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lang w:eastAsia="pl-PL"/>
              </w:rPr>
              <w:t>(Porcja dzienna)</w:t>
            </w:r>
          </w:p>
        </w:tc>
      </w:tr>
      <w:tr w:rsidR="00805CD2" w:rsidRPr="00805CD2" w14:paraId="26C68CDD" w14:textId="77777777" w:rsidTr="00805CD2"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BC0530" w14:textId="77777777" w:rsidR="00805CD2" w:rsidRPr="00805CD2" w:rsidRDefault="00805CD2" w:rsidP="00805CD2">
            <w:pPr>
              <w:spacing w:after="0" w:line="240" w:lineRule="auto"/>
              <w:rPr>
                <w:rFonts w:ascii="Arial" w:eastAsia="Times New Roman" w:hAnsi="Arial" w:cs="Arial"/>
                <w:color w:val="292929"/>
                <w:sz w:val="18"/>
                <w:szCs w:val="18"/>
                <w:lang w:eastAsia="pl-PL"/>
              </w:rPr>
            </w:pPr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lang w:eastAsia="pl-PL"/>
              </w:rPr>
              <w:t xml:space="preserve">Prebiotyk - Polisacharyd </w:t>
            </w:r>
            <w:proofErr w:type="spellStart"/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lang w:eastAsia="pl-PL"/>
              </w:rPr>
              <w:t>Fibregum</w:t>
            </w:r>
            <w:proofErr w:type="spellEnd"/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lang w:eastAsia="pl-PL"/>
              </w:rPr>
              <w:t>™ LAW (</w:t>
            </w:r>
            <w:proofErr w:type="spellStart"/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lang w:eastAsia="pl-PL"/>
              </w:rPr>
              <w:t>aw</w:t>
            </w:r>
            <w:proofErr w:type="spellEnd"/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lang w:eastAsia="pl-PL"/>
              </w:rPr>
              <w:t>&lt;0,2%)</w:t>
            </w:r>
          </w:p>
        </w:tc>
        <w:tc>
          <w:tcPr>
            <w:tcW w:w="2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1FB098" w14:textId="77777777" w:rsidR="00805CD2" w:rsidRPr="00805CD2" w:rsidRDefault="00805CD2" w:rsidP="00805CD2">
            <w:pPr>
              <w:spacing w:after="0" w:line="240" w:lineRule="auto"/>
              <w:rPr>
                <w:rFonts w:ascii="Arial" w:eastAsia="Times New Roman" w:hAnsi="Arial" w:cs="Arial"/>
                <w:color w:val="292929"/>
                <w:sz w:val="18"/>
                <w:szCs w:val="18"/>
                <w:lang w:eastAsia="pl-PL"/>
              </w:rPr>
            </w:pPr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lang w:eastAsia="pl-PL"/>
              </w:rPr>
              <w:t>100 mg</w:t>
            </w:r>
          </w:p>
        </w:tc>
      </w:tr>
      <w:tr w:rsidR="00805CD2" w:rsidRPr="00805CD2" w14:paraId="440D3D8A" w14:textId="77777777" w:rsidTr="00805CD2"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16C55D" w14:textId="77777777" w:rsidR="00805CD2" w:rsidRPr="00805CD2" w:rsidRDefault="00805CD2" w:rsidP="00805CD2">
            <w:pPr>
              <w:spacing w:after="0" w:line="240" w:lineRule="auto"/>
              <w:rPr>
                <w:rFonts w:ascii="Arial" w:eastAsia="Times New Roman" w:hAnsi="Arial" w:cs="Arial"/>
                <w:color w:val="292929"/>
                <w:sz w:val="18"/>
                <w:szCs w:val="18"/>
                <w:lang w:val="en-GB" w:eastAsia="pl-PL"/>
              </w:rPr>
            </w:pPr>
            <w:r w:rsidRPr="00805CD2">
              <w:rPr>
                <w:rFonts w:ascii="Tahoma" w:eastAsia="Times New Roman" w:hAnsi="Tahoma" w:cs="Tahoma"/>
                <w:i/>
                <w:iCs/>
                <w:color w:val="292929"/>
                <w:sz w:val="24"/>
                <w:szCs w:val="24"/>
                <w:bdr w:val="none" w:sz="0" w:space="0" w:color="auto" w:frame="1"/>
                <w:lang w:val="en-GB" w:eastAsia="pl-PL"/>
              </w:rPr>
              <w:t>Saccharomyces cerevisiae</w:t>
            </w:r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lang w:val="en-GB" w:eastAsia="pl-PL"/>
              </w:rPr>
              <w:t> CNCM I-3856 </w:t>
            </w:r>
            <w:proofErr w:type="spellStart"/>
            <w:r w:rsidRPr="00805CD2">
              <w:rPr>
                <w:rFonts w:ascii="Tahoma" w:eastAsia="Times New Roman" w:hAnsi="Tahoma" w:cs="Tahoma"/>
                <w:b/>
                <w:bCs/>
                <w:color w:val="292929"/>
                <w:sz w:val="24"/>
                <w:szCs w:val="24"/>
                <w:bdr w:val="none" w:sz="0" w:space="0" w:color="auto" w:frame="1"/>
                <w:lang w:val="en-GB" w:eastAsia="pl-PL"/>
              </w:rPr>
              <w:t>Quatreflora</w:t>
            </w:r>
            <w:proofErr w:type="spellEnd"/>
            <w:r w:rsidRPr="00805CD2">
              <w:rPr>
                <w:rFonts w:ascii="Tahoma" w:eastAsia="Times New Roman" w:hAnsi="Tahoma" w:cs="Tahoma"/>
                <w:b/>
                <w:bCs/>
                <w:color w:val="292929"/>
                <w:sz w:val="24"/>
                <w:szCs w:val="24"/>
                <w:bdr w:val="none" w:sz="0" w:space="0" w:color="auto" w:frame="1"/>
                <w:lang w:val="en-GB" w:eastAsia="pl-PL"/>
              </w:rPr>
              <w:t>™</w:t>
            </w:r>
          </w:p>
        </w:tc>
        <w:tc>
          <w:tcPr>
            <w:tcW w:w="2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9E5AC6" w14:textId="77777777" w:rsidR="00805CD2" w:rsidRPr="00805CD2" w:rsidRDefault="00805CD2" w:rsidP="00805CD2">
            <w:pPr>
              <w:spacing w:after="0" w:line="240" w:lineRule="auto"/>
              <w:rPr>
                <w:rFonts w:ascii="Arial" w:eastAsia="Times New Roman" w:hAnsi="Arial" w:cs="Arial"/>
                <w:color w:val="292929"/>
                <w:sz w:val="18"/>
                <w:szCs w:val="18"/>
                <w:lang w:eastAsia="pl-PL"/>
              </w:rPr>
            </w:pPr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lang w:eastAsia="pl-PL"/>
              </w:rPr>
              <w:t>2,5*10</w:t>
            </w:r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vertAlign w:val="superscript"/>
                <w:lang w:eastAsia="pl-PL"/>
              </w:rPr>
              <w:t>9</w:t>
            </w:r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lang w:eastAsia="pl-PL"/>
              </w:rPr>
              <w:t> </w:t>
            </w:r>
            <w:proofErr w:type="spellStart"/>
            <w:r w:rsidRPr="00805CD2">
              <w:rPr>
                <w:rFonts w:ascii="Tahoma" w:eastAsia="Times New Roman" w:hAnsi="Tahoma" w:cs="Tahoma"/>
                <w:color w:val="292929"/>
                <w:sz w:val="24"/>
                <w:szCs w:val="24"/>
                <w:bdr w:val="none" w:sz="0" w:space="0" w:color="auto" w:frame="1"/>
                <w:lang w:eastAsia="pl-PL"/>
              </w:rPr>
              <w:t>cells</w:t>
            </w:r>
            <w:proofErr w:type="spellEnd"/>
          </w:p>
        </w:tc>
      </w:tr>
    </w:tbl>
    <w:p w14:paraId="4AFEA848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</w:t>
      </w: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Składniki:</w:t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 Prebiotyk - Polisacharyd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Fibregum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™ LAW (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aw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&lt;0,2%), </w:t>
      </w:r>
      <w:proofErr w:type="spellStart"/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Saccharomyces</w:t>
      </w:r>
      <w:proofErr w:type="spellEnd"/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 xml:space="preserve"> </w:t>
      </w:r>
      <w:proofErr w:type="spellStart"/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cerevisiae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CNCM I-3856 </w:t>
      </w: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Quatreflora</w:t>
      </w:r>
      <w:proofErr w:type="spellEnd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™</w:t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, otoczka kapsułki (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hydroksypropylometyloceluloza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).</w:t>
      </w:r>
    </w:p>
    <w:p w14:paraId="268AA122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2F545A10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ProbioBalance</w:t>
      </w:r>
      <w:proofErr w:type="spellEnd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 xml:space="preserve"> by Aliness® WOMAN </w:t>
      </w: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Intima</w:t>
      </w:r>
      <w:proofErr w:type="spellEnd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 xml:space="preserve"> zawiera specjalnie wyselekcjonowany szczep drożdży </w:t>
      </w:r>
      <w:proofErr w:type="spellStart"/>
      <w:r w:rsidRPr="00805CD2">
        <w:rPr>
          <w:rFonts w:ascii="Tahoma" w:eastAsia="Times New Roman" w:hAnsi="Tahoma" w:cs="Tahoma"/>
          <w:b/>
          <w:bCs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Saccharomyces</w:t>
      </w:r>
      <w:proofErr w:type="spellEnd"/>
      <w:r w:rsidRPr="00805CD2">
        <w:rPr>
          <w:rFonts w:ascii="Tahoma" w:eastAsia="Times New Roman" w:hAnsi="Tahoma" w:cs="Tahoma"/>
          <w:b/>
          <w:bCs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 xml:space="preserve"> </w:t>
      </w:r>
      <w:proofErr w:type="spellStart"/>
      <w:r w:rsidRPr="00805CD2">
        <w:rPr>
          <w:rFonts w:ascii="Tahoma" w:eastAsia="Times New Roman" w:hAnsi="Tahoma" w:cs="Tahoma"/>
          <w:b/>
          <w:bCs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Cerevisiae</w:t>
      </w:r>
      <w:proofErr w:type="spellEnd"/>
      <w:r w:rsidRPr="00805CD2">
        <w:rPr>
          <w:rFonts w:ascii="Tahoma" w:eastAsia="Times New Roman" w:hAnsi="Tahoma" w:cs="Tahoma"/>
          <w:b/>
          <w:bCs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 xml:space="preserve"> CNCM I-3856</w:t>
      </w: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, które przywracają równowagę mikroflory pochwy.</w:t>
      </w:r>
    </w:p>
    <w:p w14:paraId="520FE0F1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lastRenderedPageBreak/>
        <w:t>Zalecana porcja do spożycia w ciągu dnia niezbędna do uzyskania korzystnego działania produktu:</w:t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1 kapsułka dziennie, po posiłku . Nie przekraczać zalecanej porcji do spożycia w ciągu dnia.</w:t>
      </w:r>
    </w:p>
    <w:p w14:paraId="4635622E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Suplement diety nie może być stosowany jako substytut zróżnicowanej diety. Zrównoważony sposób żywienia oraz zdrowy tryb życia są podstawą prawidłowego funkcjonowania organizmu.</w:t>
      </w:r>
    </w:p>
    <w:p w14:paraId="09045661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06728EA6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Suplement diety </w:t>
      </w:r>
      <w:proofErr w:type="spellStart"/>
      <w:r w:rsidRPr="00805CD2">
        <w:rPr>
          <w:rFonts w:ascii="Tahoma" w:eastAsia="Times New Roman" w:hAnsi="Tahoma" w:cs="Tahoma"/>
          <w:b/>
          <w:bCs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ProbioBalance</w:t>
      </w:r>
      <w:proofErr w:type="spellEnd"/>
      <w:r w:rsidRPr="00805CD2">
        <w:rPr>
          <w:rFonts w:ascii="Tahoma" w:eastAsia="Times New Roman" w:hAnsi="Tahoma" w:cs="Tahoma"/>
          <w:b/>
          <w:bCs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 xml:space="preserve"> by Aliness® WOMAN </w:t>
      </w:r>
      <w:proofErr w:type="spellStart"/>
      <w:r w:rsidRPr="00805CD2">
        <w:rPr>
          <w:rFonts w:ascii="Tahoma" w:eastAsia="Times New Roman" w:hAnsi="Tahoma" w:cs="Tahoma"/>
          <w:b/>
          <w:bCs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Intima</w:t>
      </w:r>
      <w:proofErr w:type="spellEnd"/>
      <w:r w:rsidRPr="00805CD2">
        <w:rPr>
          <w:rFonts w:ascii="Tahoma" w:eastAsia="Times New Roman" w:hAnsi="Tahoma" w:cs="Tahoma"/>
          <w:b/>
          <w:bCs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 </w:t>
      </w:r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zawiera 2,5 miliarda liofilizowanych, żywych komórek drożdżowych w każdej kapsułce w opatentowanej postaci </w:t>
      </w: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Quatreflora</w:t>
      </w:r>
      <w:proofErr w:type="spellEnd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.</w:t>
      </w:r>
    </w:p>
    <w:p w14:paraId="73D72DC0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2103087A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Zawartość opakowania:</w:t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30 kapsułek VEGE</w:t>
      </w:r>
    </w:p>
    <w:p w14:paraId="0C68EF30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30ACC720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Warunki przechowywania:</w:t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Przechowywać w temperaturze pokojowej, w suchym miejscu. Przechowywać w sposób niedostępny dla małych dzieci.</w:t>
      </w:r>
    </w:p>
    <w:p w14:paraId="6F5FE36D" w14:textId="1E76DD7D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noProof/>
          <w:color w:val="292929"/>
          <w:sz w:val="24"/>
          <w:szCs w:val="24"/>
          <w:bdr w:val="none" w:sz="0" w:space="0" w:color="auto" w:frame="1"/>
          <w:lang w:eastAsia="pl-PL"/>
        </w:rPr>
        <w:drawing>
          <wp:inline distT="0" distB="0" distL="0" distR="0" wp14:anchorId="1AB693FB" wp14:editId="008236A4">
            <wp:extent cx="4951730" cy="836930"/>
            <wp:effectExtent l="0" t="0" r="1270" b="127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1730" cy="836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A4AD68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649D3C55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W celu zapewnienia najwyższej jakości produktu przez cały okres daty jego ważności, na etapie produkcyjnym, dodawane jest 20% naddatku technologicznego czyli ok. 20% więcej żywych komórek drożdży do każdej kapsułki.</w:t>
      </w:r>
    </w:p>
    <w:p w14:paraId="7F2062A4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 </w:t>
      </w:r>
    </w:p>
    <w:p w14:paraId="18751EA6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ProbioBalance</w:t>
      </w:r>
      <w:proofErr w:type="spellEnd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 xml:space="preserve"> by Aliness® WOMAN </w:t>
      </w: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Intima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zawiera szczep drożdży </w:t>
      </w:r>
      <w:proofErr w:type="spellStart"/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Saccharomyces</w:t>
      </w:r>
      <w:proofErr w:type="spellEnd"/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 xml:space="preserve"> </w:t>
      </w:r>
      <w:proofErr w:type="spellStart"/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Cervisiae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CNCM I-3856, w opatentowanej postaci </w:t>
      </w: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Quatreflora</w:t>
      </w:r>
      <w:proofErr w:type="spellEnd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 </w:t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dedykowany kobietom chcącym zadbać o równowagę mikroflory pochwy. „Dobre” drożdże </w:t>
      </w:r>
      <w:proofErr w:type="spellStart"/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Saccharomyces</w:t>
      </w:r>
      <w:proofErr w:type="spellEnd"/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 xml:space="preserve"> </w:t>
      </w:r>
      <w:proofErr w:type="spellStart"/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Cervisiae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kolonizują miejsca intymne w sposób pośredni (poprzez układ pokarmowy) i wypierają z nich pasożytnicze grzyby z gatunku </w:t>
      </w:r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 xml:space="preserve">Candida </w:t>
      </w:r>
      <w:proofErr w:type="spellStart"/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albicans</w:t>
      </w:r>
      <w:proofErr w:type="spellEnd"/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.</w:t>
      </w:r>
    </w:p>
    <w:p w14:paraId="60257D86" w14:textId="3126E042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 </w:t>
      </w:r>
      <w:r w:rsidRPr="00805CD2">
        <w:rPr>
          <w:rFonts w:ascii="Tahoma" w:eastAsia="Times New Roman" w:hAnsi="Tahoma" w:cs="Tahoma"/>
          <w:i/>
          <w:iCs/>
          <w:noProof/>
          <w:color w:val="292929"/>
          <w:sz w:val="24"/>
          <w:szCs w:val="24"/>
          <w:bdr w:val="none" w:sz="0" w:space="0" w:color="auto" w:frame="1"/>
          <w:lang w:eastAsia="pl-PL"/>
        </w:rPr>
        <w:drawing>
          <wp:inline distT="0" distB="0" distL="0" distR="0" wp14:anchorId="6957B69C" wp14:editId="32C45613">
            <wp:extent cx="2475865" cy="2159635"/>
            <wp:effectExtent l="0" t="0" r="635" b="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5865" cy="215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4D78DD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Dedykowana seria produktów</w:t>
      </w:r>
    </w:p>
    <w:p w14:paraId="4C228170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ProbioBALANCE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 to rewolucyjna i kompleksowa seria produktów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probiotycznych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 o specjalnie wyselekcjonowanych szczepach bakterii, dedykowanych do różnych grup wiekowych, wspomagająca prawidłowe funkcjonowanie jelit, pochwy czy też jamy ustnej. Produkty zostały opracowane przez polskich i włoskich technologów.</w:t>
      </w:r>
    </w:p>
    <w:p w14:paraId="62CC86A5" w14:textId="1A550F54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lastRenderedPageBreak/>
        <w:t> </w:t>
      </w:r>
      <w:r w:rsidRPr="00805CD2">
        <w:rPr>
          <w:rFonts w:ascii="Tahoma" w:eastAsia="Times New Roman" w:hAnsi="Tahoma" w:cs="Tahoma"/>
          <w:noProof/>
          <w:color w:val="292929"/>
          <w:sz w:val="24"/>
          <w:szCs w:val="24"/>
          <w:bdr w:val="none" w:sz="0" w:space="0" w:color="auto" w:frame="1"/>
          <w:lang w:eastAsia="pl-PL"/>
        </w:rPr>
        <w:drawing>
          <wp:inline distT="0" distB="0" distL="0" distR="0" wp14:anchorId="650561E0" wp14:editId="6FE0B38D">
            <wp:extent cx="5760720" cy="1967865"/>
            <wp:effectExtent l="0" t="0" r="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96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56436D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1765A47C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Niska aktywność wodna (</w:t>
      </w: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aw</w:t>
      </w:r>
      <w:proofErr w:type="spellEnd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):</w:t>
      </w:r>
    </w:p>
    <w:p w14:paraId="3163F480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Bakterie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probiotyczne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 jak i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drożdzaki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 są bardzo wrażliwe na środowisko wodne. Producenci często stosują jako wypełnienie różnego rodzaju błonniki czy też inulinę. Ich środowisko nie jest korzystne dla bakterii, ponieważ ich aktywność wodna jest powyżej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aw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 0,2.</w:t>
      </w:r>
      <w:r w:rsidRPr="00805CD2">
        <w:rPr>
          <w:rFonts w:ascii="Arial" w:eastAsia="Times New Roman" w:hAnsi="Arial" w:cs="Arial"/>
          <w:color w:val="292929"/>
          <w:sz w:val="18"/>
          <w:szCs w:val="18"/>
          <w:lang w:eastAsia="pl-PL"/>
        </w:rPr>
        <w:br/>
      </w: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 xml:space="preserve">Aktywność wodna nośnika ma w przypadku </w:t>
      </w: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probiotyków</w:t>
      </w:r>
      <w:proofErr w:type="spellEnd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 xml:space="preserve"> kolosalne znaczenie. To właśnie nośnik ma największy kontakt z bakteriami przez cały czas. Jeżeli aktywność wodna jest powyżej </w:t>
      </w: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aw</w:t>
      </w:r>
      <w:proofErr w:type="spellEnd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 xml:space="preserve"> 0,2 to enzymy zawarte w bakteriach zaczynają się aktywować doprowadzając do ich niszczenia.</w:t>
      </w: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br/>
        <w:t xml:space="preserve">Jeżeli nie stosujemy nośnika o odpowiedniej aktywności wodnej, to różne, stosowane przez producentów zabezpieczenia, takie jak kapsułki celulozowe, </w:t>
      </w: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DerrCaps</w:t>
      </w:r>
      <w:proofErr w:type="spellEnd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 xml:space="preserve"> czy nawet blistry </w:t>
      </w:r>
      <w:proofErr w:type="spellStart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alu-alu</w:t>
      </w:r>
      <w:proofErr w:type="spellEnd"/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 xml:space="preserve"> na niewiele się zdadzą.</w:t>
      </w:r>
      <w:r w:rsidRPr="00805CD2">
        <w:rPr>
          <w:rFonts w:ascii="Arial" w:eastAsia="Times New Roman" w:hAnsi="Arial" w:cs="Arial"/>
          <w:color w:val="292929"/>
          <w:sz w:val="18"/>
          <w:szCs w:val="18"/>
          <w:lang w:eastAsia="pl-PL"/>
        </w:rPr>
        <w:br/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Produkty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ProbioBALANCE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 jako pierwsze na świecie zawierają innowacyjny PREBIOTYK – złożony polisacharyd (dietetyczny błonnik rozpuszczalny)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Fibregum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™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Bio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 Law (posiada certyfikat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organic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/BIO) aktywności wodnej poniżej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aw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&lt;0,2 czyli bezpiecznej dla bakterii. Enzymy w bakteriach przy tak niskiej aktywności wodnej nie wpływają na metabolizm bakterii.</w:t>
      </w:r>
      <w:r w:rsidRPr="00805CD2">
        <w:rPr>
          <w:rFonts w:ascii="Arial" w:eastAsia="Times New Roman" w:hAnsi="Arial" w:cs="Arial"/>
          <w:color w:val="292929"/>
          <w:sz w:val="18"/>
          <w:szCs w:val="18"/>
          <w:lang w:eastAsia="pl-PL"/>
        </w:rPr>
        <w:br/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Dodatkowo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Fibregum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™ jest doskonałym prebiotykiem o dużo lepszym działaniu niż inulina. W przeciwieństwie do inuliny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Fibregum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™ jest dużym polisacharydem jest on fermentowany przez bakterie wolniej (ma wydłużony czas fermentacji) bez gazów, wzdęć jak to ma miejsce przy inulinie.</w:t>
      </w:r>
    </w:p>
    <w:p w14:paraId="62A7A8F7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5509FD19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b/>
          <w:bCs/>
          <w:color w:val="292929"/>
          <w:sz w:val="24"/>
          <w:szCs w:val="24"/>
          <w:bdr w:val="none" w:sz="0" w:space="0" w:color="auto" w:frame="1"/>
          <w:lang w:eastAsia="pl-PL"/>
        </w:rPr>
        <w:t>Butelki ze szkła fioletowego (Violet Glass):</w:t>
      </w:r>
      <w:r w:rsidRPr="00805CD2">
        <w:rPr>
          <w:rFonts w:ascii="Arial" w:eastAsia="Times New Roman" w:hAnsi="Arial" w:cs="Arial"/>
          <w:color w:val="292929"/>
          <w:sz w:val="18"/>
          <w:szCs w:val="18"/>
          <w:lang w:eastAsia="pl-PL"/>
        </w:rPr>
        <w:br/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Szkło fioletowe działa jak naturalny filtr, który chroni przed światłem słonecznym i poprawia jakość wrażliwych substancji. Szkło fioletowe blokuje pełne spektrum światła widzialnego za wyjątkiem części fioletowej. To unikalne połączenie zapewnia optymalną ochronę przed procesami starzenia i utleniania szczególnie wrażliwych substancji. Ochrona bakterii szkłem fioletowym jest rewolucyjnym sposobem zapewnienia wysokiej, jakości produktu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ProbioBalance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.</w:t>
      </w:r>
      <w:r w:rsidRPr="00805CD2">
        <w:rPr>
          <w:rFonts w:ascii="Arial" w:eastAsia="Times New Roman" w:hAnsi="Arial" w:cs="Arial"/>
          <w:color w:val="292929"/>
          <w:sz w:val="18"/>
          <w:szCs w:val="18"/>
          <w:lang w:eastAsia="pl-PL"/>
        </w:rPr>
        <w:br/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Poniżej przedstawiamy badanie pokazujące różnice w przechowywaniu różnych produktów. Zalecamy zachowanie naszych butelek i wykorzystanie ich w kuchni do przechowywania ziół, nasion czy leków.</w:t>
      </w:r>
    </w:p>
    <w:p w14:paraId="7B3F7B19" w14:textId="78E3AF32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lastRenderedPageBreak/>
        <w:t> </w:t>
      </w:r>
      <w:r w:rsidRPr="00805CD2">
        <w:rPr>
          <w:rFonts w:ascii="Tahoma" w:eastAsia="Times New Roman" w:hAnsi="Tahoma" w:cs="Tahoma"/>
          <w:noProof/>
          <w:color w:val="292929"/>
          <w:sz w:val="24"/>
          <w:szCs w:val="24"/>
          <w:bdr w:val="none" w:sz="0" w:space="0" w:color="auto" w:frame="1"/>
          <w:lang w:eastAsia="pl-PL"/>
        </w:rPr>
        <w:drawing>
          <wp:inline distT="0" distB="0" distL="0" distR="0" wp14:anchorId="1A88BB19" wp14:editId="7E78BC7B">
            <wp:extent cx="3502660" cy="2715260"/>
            <wp:effectExtent l="0" t="0" r="2540" b="889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2660" cy="271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62782D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</w:t>
      </w:r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Test przechowywania szczypiorku przez okres 2 miesięcy.</w:t>
      </w:r>
    </w:p>
    <w:p w14:paraId="55A92732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555182A1" w14:textId="640DDD11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 </w:t>
      </w:r>
      <w:r w:rsidRPr="00805CD2">
        <w:rPr>
          <w:rFonts w:ascii="Tahoma" w:eastAsia="Times New Roman" w:hAnsi="Tahoma" w:cs="Tahoma"/>
          <w:i/>
          <w:iCs/>
          <w:noProof/>
          <w:color w:val="292929"/>
          <w:sz w:val="24"/>
          <w:szCs w:val="24"/>
          <w:bdr w:val="none" w:sz="0" w:space="0" w:color="auto" w:frame="1"/>
          <w:lang w:eastAsia="pl-PL"/>
        </w:rPr>
        <w:drawing>
          <wp:inline distT="0" distB="0" distL="0" distR="0" wp14:anchorId="0A7E7711" wp14:editId="618C7268">
            <wp:extent cx="3664585" cy="3094990"/>
            <wp:effectExtent l="0" t="0" r="0" b="0"/>
            <wp:docPr id="4" name="Obraz 4" descr="Obraz zawierający wewnątrz, zastawa stołow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4" descr="Obraz zawierający wewnątrz, zastawa stołowa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4585" cy="309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0D2FAF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1BEB1435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Test przechowywania pomidorka „</w:t>
      </w:r>
      <w:proofErr w:type="spellStart"/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Cherry</w:t>
      </w:r>
      <w:proofErr w:type="spellEnd"/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” przez okres 7 miesięcy.</w:t>
      </w:r>
    </w:p>
    <w:p w14:paraId="2473019C" w14:textId="471F19C6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lastRenderedPageBreak/>
        <w:t> </w:t>
      </w:r>
      <w:r w:rsidRPr="00805CD2">
        <w:rPr>
          <w:rFonts w:ascii="Tahoma" w:eastAsia="Times New Roman" w:hAnsi="Tahoma" w:cs="Tahoma"/>
          <w:noProof/>
          <w:color w:val="292929"/>
          <w:sz w:val="24"/>
          <w:szCs w:val="24"/>
          <w:bdr w:val="none" w:sz="0" w:space="0" w:color="auto" w:frame="1"/>
          <w:lang w:eastAsia="pl-PL"/>
        </w:rPr>
        <w:drawing>
          <wp:inline distT="0" distB="0" distL="0" distR="0" wp14:anchorId="30AA7781" wp14:editId="54AB350D">
            <wp:extent cx="5760720" cy="3516630"/>
            <wp:effectExtent l="0" t="0" r="0" b="7620"/>
            <wp:docPr id="3" name="Obraz 3" descr="Obraz zawierający tekst, gazet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3" descr="Obraz zawierający tekst, gazeta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516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1174AB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Liczne badania kliniczne:</w:t>
      </w:r>
      <w:r w:rsidRPr="00805CD2">
        <w:rPr>
          <w:rFonts w:ascii="Arial" w:eastAsia="Times New Roman" w:hAnsi="Arial" w:cs="Arial"/>
          <w:color w:val="292929"/>
          <w:sz w:val="18"/>
          <w:szCs w:val="18"/>
          <w:lang w:eastAsia="pl-PL"/>
        </w:rPr>
        <w:br/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Wszystkie szczepy zawarte w </w:t>
      </w:r>
      <w:proofErr w:type="spellStart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ProbioBALANCE</w:t>
      </w:r>
      <w:proofErr w:type="spellEnd"/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 xml:space="preserve"> posiadają liczne, udokumentowane badania kliniczne oraz technologiczne:</w:t>
      </w:r>
    </w:p>
    <w:p w14:paraId="17B5AA67" w14:textId="0F42D26A" w:rsidR="00805CD2" w:rsidRPr="00805CD2" w:rsidRDefault="00805CD2" w:rsidP="00805CD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lastRenderedPageBreak/>
        <w:t> </w:t>
      </w:r>
      <w:r w:rsidRPr="00805CD2">
        <w:rPr>
          <w:rFonts w:ascii="Tahoma" w:eastAsia="Times New Roman" w:hAnsi="Tahoma" w:cs="Tahoma"/>
          <w:noProof/>
          <w:color w:val="292929"/>
          <w:sz w:val="24"/>
          <w:szCs w:val="24"/>
          <w:bdr w:val="none" w:sz="0" w:space="0" w:color="auto" w:frame="1"/>
          <w:lang w:eastAsia="pl-PL"/>
        </w:rPr>
        <w:drawing>
          <wp:inline distT="0" distB="0" distL="0" distR="0" wp14:anchorId="16B76FC6" wp14:editId="0B1DBF5C">
            <wp:extent cx="4705350" cy="4740910"/>
            <wp:effectExtent l="0" t="0" r="0" b="254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5350" cy="4740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56E2A6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3341BABE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i/>
          <w:iCs/>
          <w:color w:val="292929"/>
          <w:sz w:val="24"/>
          <w:szCs w:val="24"/>
          <w:bdr w:val="none" w:sz="0" w:space="0" w:color="auto" w:frame="1"/>
          <w:lang w:eastAsia="pl-PL"/>
        </w:rPr>
        <w:t> </w:t>
      </w:r>
    </w:p>
    <w:p w14:paraId="7BA5ECF4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MEDICALINE</w:t>
      </w:r>
      <w:r w:rsidRPr="00805CD2">
        <w:rPr>
          <w:rFonts w:ascii="Arial" w:eastAsia="Times New Roman" w:hAnsi="Arial" w:cs="Arial"/>
          <w:color w:val="292929"/>
          <w:sz w:val="18"/>
          <w:szCs w:val="18"/>
          <w:lang w:eastAsia="pl-PL"/>
        </w:rPr>
        <w:br/>
      </w: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OSTRÓWIEC 150</w:t>
      </w:r>
    </w:p>
    <w:p w14:paraId="278035FE" w14:textId="77777777" w:rsidR="00805CD2" w:rsidRPr="00805CD2" w:rsidRDefault="00805CD2" w:rsidP="00805C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Tahoma" w:eastAsia="Times New Roman" w:hAnsi="Tahoma" w:cs="Tahoma"/>
          <w:color w:val="292929"/>
          <w:sz w:val="24"/>
          <w:szCs w:val="24"/>
          <w:bdr w:val="none" w:sz="0" w:space="0" w:color="auto" w:frame="1"/>
          <w:lang w:eastAsia="pl-PL"/>
        </w:rPr>
        <w:t>05-480 KARCZEW</w:t>
      </w:r>
    </w:p>
    <w:p w14:paraId="7CA413BB" w14:textId="45AE4073" w:rsidR="00805CD2" w:rsidRPr="00805CD2" w:rsidRDefault="00805CD2" w:rsidP="00805CD2">
      <w:pPr>
        <w:shd w:val="clear" w:color="auto" w:fill="FFFFFF"/>
        <w:spacing w:before="240" w:after="240" w:line="240" w:lineRule="auto"/>
        <w:rPr>
          <w:rFonts w:ascii="Arial" w:eastAsia="Times New Roman" w:hAnsi="Arial" w:cs="Arial"/>
          <w:color w:val="292929"/>
          <w:sz w:val="18"/>
          <w:szCs w:val="18"/>
          <w:lang w:eastAsia="pl-PL"/>
        </w:rPr>
      </w:pPr>
      <w:r w:rsidRPr="00805CD2">
        <w:rPr>
          <w:rFonts w:ascii="Arial" w:eastAsia="Times New Roman" w:hAnsi="Arial" w:cs="Arial"/>
          <w:noProof/>
          <w:color w:val="292929"/>
          <w:sz w:val="18"/>
          <w:szCs w:val="18"/>
          <w:lang w:eastAsia="pl-PL"/>
        </w:rPr>
        <w:drawing>
          <wp:inline distT="0" distB="0" distL="0" distR="0" wp14:anchorId="1647C597" wp14:editId="625A8507">
            <wp:extent cx="1294130" cy="745490"/>
            <wp:effectExtent l="0" t="0" r="127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4130" cy="745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529FD8" w14:textId="77777777" w:rsidR="00496B7A" w:rsidRPr="00361CEE" w:rsidRDefault="00496B7A" w:rsidP="00496B7A">
      <w:pPr>
        <w:rPr>
          <w:b/>
          <w:bCs/>
        </w:rPr>
      </w:pPr>
      <w:r w:rsidRPr="00361CEE">
        <w:rPr>
          <w:b/>
          <w:bCs/>
        </w:rPr>
        <w:t>Obserwuj nas na Facebooku i Instagramie:</w:t>
      </w:r>
    </w:p>
    <w:p w14:paraId="39CB1861" w14:textId="77777777" w:rsidR="00496B7A" w:rsidRDefault="00496B7A" w:rsidP="00496B7A">
      <w:hyperlink r:id="rId14" w:history="1">
        <w:r w:rsidRPr="00A8727A">
          <w:rPr>
            <w:rStyle w:val="Hipercze"/>
          </w:rPr>
          <w:t>https://www.facebook.com/Alinesssuplementy/</w:t>
        </w:r>
      </w:hyperlink>
    </w:p>
    <w:p w14:paraId="3F732531" w14:textId="77777777" w:rsidR="00496B7A" w:rsidRDefault="00496B7A" w:rsidP="00496B7A">
      <w:hyperlink r:id="rId15" w:history="1">
        <w:r w:rsidRPr="00A8727A">
          <w:rPr>
            <w:rStyle w:val="Hipercze"/>
          </w:rPr>
          <w:t>https://www.instagram.com/aliness.pl/</w:t>
        </w:r>
      </w:hyperlink>
    </w:p>
    <w:p w14:paraId="3F66AE7B" w14:textId="77777777" w:rsidR="00496B7A" w:rsidRDefault="00496B7A" w:rsidP="00496B7A"/>
    <w:p w14:paraId="61406AD1" w14:textId="77777777" w:rsidR="00496B7A" w:rsidRPr="00D91080" w:rsidRDefault="00496B7A" w:rsidP="00496B7A">
      <w:pPr>
        <w:rPr>
          <w:rFonts w:ascii="Calibri" w:hAnsi="Calibri" w:cs="Calibri"/>
        </w:rPr>
      </w:pPr>
      <w:r w:rsidRPr="00404AB6">
        <w:rPr>
          <w:rFonts w:ascii="Calibri" w:eastAsia="Times New Roman" w:hAnsi="Calibri" w:cs="Calibri"/>
          <w:b/>
          <w:bCs/>
          <w:color w:val="000000"/>
          <w:lang w:eastAsia="pl-PL"/>
        </w:rPr>
        <w:t>Kontakt prasowy: Urszula Klonowska-Wizental, tel. kom.+48 514-441-937 e-mail:</w:t>
      </w:r>
      <w:r w:rsidRPr="00404AB6">
        <w:rPr>
          <w:rFonts w:ascii="Calibri" w:eastAsia="Times New Roman" w:hAnsi="Calibri" w:cs="Calibri"/>
          <w:color w:val="000000"/>
          <w:lang w:eastAsia="pl-PL"/>
        </w:rPr>
        <w:t xml:space="preserve"> </w:t>
      </w:r>
      <w:hyperlink r:id="rId16" w:history="1">
        <w:r w:rsidRPr="00404AB6">
          <w:rPr>
            <w:rFonts w:ascii="Calibri" w:eastAsia="Times New Roman" w:hAnsi="Calibri" w:cs="Calibri"/>
            <w:color w:val="000000"/>
            <w:u w:val="single"/>
            <w:lang w:eastAsia="pl-PL"/>
          </w:rPr>
          <w:t>ula@getintouch.pl</w:t>
        </w:r>
      </w:hyperlink>
      <w:r w:rsidRPr="00404AB6">
        <w:rPr>
          <w:rFonts w:ascii="Calibri" w:eastAsia="Times New Roman" w:hAnsi="Calibri" w:cs="Calibri"/>
          <w:color w:val="000000"/>
          <w:lang w:eastAsia="pl-PL"/>
        </w:rPr>
        <w:t xml:space="preserve">, </w:t>
      </w:r>
      <w:hyperlink r:id="rId17" w:history="1">
        <w:r w:rsidRPr="00404AB6">
          <w:rPr>
            <w:rFonts w:ascii="Calibri" w:eastAsia="Times New Roman" w:hAnsi="Calibri" w:cs="Calibri"/>
            <w:color w:val="000000"/>
            <w:u w:val="single"/>
            <w:lang w:eastAsia="pl-PL"/>
          </w:rPr>
          <w:t>www.getintouch.pl</w:t>
        </w:r>
      </w:hyperlink>
      <w:r w:rsidRPr="00404AB6">
        <w:rPr>
          <w:rFonts w:ascii="Calibri" w:eastAsia="Times New Roman" w:hAnsi="Calibri" w:cs="Calibri"/>
          <w:color w:val="000000"/>
          <w:lang w:eastAsia="pl-PL"/>
        </w:rPr>
        <w:t xml:space="preserve">, </w:t>
      </w:r>
      <w:hyperlink r:id="rId18" w:history="1">
        <w:r w:rsidRPr="00404AB6">
          <w:rPr>
            <w:rFonts w:ascii="Calibri" w:eastAsia="Times New Roman" w:hAnsi="Calibri" w:cs="Calibri"/>
            <w:color w:val="000000"/>
            <w:u w:val="single"/>
            <w:lang w:eastAsia="pl-PL"/>
          </w:rPr>
          <w:t>https://www.facebook.com/getintouchpr</w:t>
        </w:r>
      </w:hyperlink>
    </w:p>
    <w:p w14:paraId="50D41401" w14:textId="77777777" w:rsidR="00615BC9" w:rsidRDefault="00615BC9"/>
    <w:sectPr w:rsidR="00615B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AB9"/>
    <w:rsid w:val="00075CBF"/>
    <w:rsid w:val="00365AB9"/>
    <w:rsid w:val="00496B7A"/>
    <w:rsid w:val="00615BC9"/>
    <w:rsid w:val="00805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FEC17"/>
  <w15:chartTrackingRefBased/>
  <w15:docId w15:val="{CA8DCE8E-B47F-4130-9205-AE58E596A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805C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805CD2"/>
    <w:rPr>
      <w:b/>
      <w:bCs/>
    </w:rPr>
  </w:style>
  <w:style w:type="character" w:styleId="Uwydatnienie">
    <w:name w:val="Emphasis"/>
    <w:basedOn w:val="Domylnaczcionkaakapitu"/>
    <w:uiPriority w:val="20"/>
    <w:qFormat/>
    <w:rsid w:val="00805CD2"/>
    <w:rPr>
      <w:i/>
      <w:iCs/>
    </w:rPr>
  </w:style>
  <w:style w:type="character" w:customStyle="1" w:styleId="price-name">
    <w:name w:val="price-name"/>
    <w:basedOn w:val="Domylnaczcionkaakapitu"/>
    <w:rsid w:val="00805CD2"/>
  </w:style>
  <w:style w:type="character" w:styleId="Hipercze">
    <w:name w:val="Hyperlink"/>
    <w:basedOn w:val="Domylnaczcionkaakapitu"/>
    <w:uiPriority w:val="99"/>
    <w:unhideWhenUsed/>
    <w:rsid w:val="00496B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747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18" Type="http://schemas.openxmlformats.org/officeDocument/2006/relationships/hyperlink" Target="https://www.facebook.com/getintouchpr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jpeg"/><Relationship Id="rId17" Type="http://schemas.openxmlformats.org/officeDocument/2006/relationships/hyperlink" Target="http://www.getintouch.pl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ula@getintouch.pl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5" Type="http://schemas.openxmlformats.org/officeDocument/2006/relationships/hyperlink" Target="https://www.instagram.com/aliness.pl/" TargetMode="External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hyperlink" Target="https://www.facebook.com/Alinesssuplementy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756</Words>
  <Characters>4538</Characters>
  <Application>Microsoft Office Word</Application>
  <DocSecurity>0</DocSecurity>
  <Lines>37</Lines>
  <Paragraphs>10</Paragraphs>
  <ScaleCrop>false</ScaleCrop>
  <Company/>
  <LinksUpToDate>false</LinksUpToDate>
  <CharactersWithSpaces>5284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 Wolna</dc:creator>
  <cp:keywords/>
  <dc:description/>
  <cp:lastModifiedBy>Kamila Wolna</cp:lastModifiedBy>
  <cp:revision>3</cp:revision>
  <dcterms:created xsi:type="dcterms:W3CDTF">2022-07-14T13:33:00Z</dcterms:created>
  <dcterms:modified xsi:type="dcterms:W3CDTF">2022-07-14T13:34:00Z</dcterms:modified>
</cp:coreProperties>
</file>