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3166A" w14:textId="4E296D16" w:rsidR="002E4379" w:rsidRPr="002E4379" w:rsidRDefault="00950A40" w:rsidP="00AE5231">
      <w:pPr>
        <w:rPr>
          <w:b/>
          <w:bCs/>
        </w:rPr>
      </w:pPr>
      <w:r>
        <w:rPr>
          <w:b/>
          <w:bCs/>
        </w:rPr>
        <w:t>Najnowszy r</w:t>
      </w:r>
      <w:r w:rsidR="002E4379" w:rsidRPr="002E4379">
        <w:rPr>
          <w:b/>
          <w:bCs/>
        </w:rPr>
        <w:t>anking aut z najczęściej cofanym licznikiem</w:t>
      </w:r>
      <w:r w:rsidR="002E4379" w:rsidRPr="002E4379">
        <w:rPr>
          <w:b/>
          <w:bCs/>
        </w:rPr>
        <w:br/>
      </w:r>
      <w:r w:rsidR="002E4379" w:rsidRPr="002E4379">
        <w:rPr>
          <w:b/>
          <w:bCs/>
          <w:sz w:val="36"/>
          <w:szCs w:val="36"/>
        </w:rPr>
        <w:t>20 ryzykownych modeli</w:t>
      </w:r>
    </w:p>
    <w:p w14:paraId="0F02075B" w14:textId="13A48C66" w:rsidR="00935370" w:rsidRPr="002E4379" w:rsidRDefault="00AE5231" w:rsidP="00AE5231">
      <w:pPr>
        <w:rPr>
          <w:b/>
          <w:bCs/>
        </w:rPr>
      </w:pPr>
      <w:r w:rsidRPr="002E4379">
        <w:rPr>
          <w:b/>
          <w:bCs/>
        </w:rPr>
        <w:t>Cofanie licznika jest jednym z najpowszechniejszych oszustw na motoryzacyjnym rynku wtórnym.</w:t>
      </w:r>
      <w:r w:rsidR="00935370" w:rsidRPr="002E4379">
        <w:rPr>
          <w:b/>
          <w:bCs/>
        </w:rPr>
        <w:t xml:space="preserve"> Na podstawie </w:t>
      </w:r>
      <w:r w:rsidR="00950A40">
        <w:rPr>
          <w:b/>
          <w:bCs/>
        </w:rPr>
        <w:t xml:space="preserve">najnowszych </w:t>
      </w:r>
      <w:r w:rsidR="00935370" w:rsidRPr="002E4379">
        <w:rPr>
          <w:b/>
          <w:bCs/>
        </w:rPr>
        <w:t xml:space="preserve">danych z bazy </w:t>
      </w:r>
      <w:proofErr w:type="spellStart"/>
      <w:r w:rsidRPr="002E4379">
        <w:rPr>
          <w:b/>
          <w:bCs/>
        </w:rPr>
        <w:t>carVertical</w:t>
      </w:r>
      <w:proofErr w:type="spellEnd"/>
      <w:r w:rsidRPr="002E4379">
        <w:rPr>
          <w:b/>
          <w:bCs/>
        </w:rPr>
        <w:t xml:space="preserve"> </w:t>
      </w:r>
      <w:r w:rsidR="00935370" w:rsidRPr="002E4379">
        <w:rPr>
          <w:b/>
          <w:bCs/>
        </w:rPr>
        <w:t>publikujemy listę modeli, w których liczniki cofa się najczęściej. Eksperci podpowiadają w jaki sposób można wykryć oszustwo, lub dodatkowo upewnić się, że informacje pozyskane z raportów są prawdziwe.</w:t>
      </w:r>
    </w:p>
    <w:p w14:paraId="2CDCE124" w14:textId="110F8BA0" w:rsidR="00950A40" w:rsidRDefault="00950A40" w:rsidP="00950A40">
      <w:r>
        <w:t xml:space="preserve">Cofanie licznika kosztuje, a cofanie profesjonalne (jakkolwiek by to nie brzmiało) – kosztuje jeszcze więcej. Oznacza to, że proceder jest najbardziej opłacalny przy samochodach drogich i takich, na które jest duże zapotrzebowanie. Mało kto będzie zadawał sobie trud cofania licznika w starej Daewoo </w:t>
      </w:r>
      <w:proofErr w:type="spellStart"/>
      <w:r>
        <w:t>Nubirze</w:t>
      </w:r>
      <w:proofErr w:type="spellEnd"/>
      <w:r>
        <w:t xml:space="preserve">. Ale już w Audi A6 – jak najbardziej. Poniższy ranking </w:t>
      </w:r>
      <w:proofErr w:type="spellStart"/>
      <w:r>
        <w:t>carVertical</w:t>
      </w:r>
      <w:proofErr w:type="spellEnd"/>
      <w:r>
        <w:t xml:space="preserve"> to lista pojazdów, w których raporty najczęściej ujawniają cofnięty licznik. Dane dotyczą Polski i podsumowują okres od stycznia do sierpnia 2022. Dane oparte są na raportach historii samochodów sprawdzonych za pośrednictwem </w:t>
      </w:r>
      <w:proofErr w:type="spellStart"/>
      <w:r>
        <w:t>carVertical</w:t>
      </w:r>
      <w:proofErr w:type="spellEnd"/>
      <w:r>
        <w:t xml:space="preserve"> i odzwierciedlają one samochody sprawdzone w systemie </w:t>
      </w:r>
      <w:proofErr w:type="spellStart"/>
      <w:r>
        <w:t>carVertical</w:t>
      </w:r>
      <w:proofErr w:type="spellEnd"/>
      <w:r>
        <w:t xml:space="preserve">. Ponieważ na potrzeby tego rankingu zweryfikowano ok. miliona raportów, można zakładać, że stanowią one odpowiednią próbkę dla całego polskiego rynku. </w:t>
      </w:r>
    </w:p>
    <w:p w14:paraId="30B5E85D" w14:textId="77777777" w:rsidR="00950A40" w:rsidRDefault="00950A40" w:rsidP="00950A40">
      <w:r>
        <w:t>Przebieg najczęściej był korygowany w autach z lat 2006-2016, a zatem w grupie największego zagrożenia są pojazdy mające od 5 do 15 lat.</w:t>
      </w:r>
    </w:p>
    <w:p w14:paraId="4D9FF9CC" w14:textId="77777777" w:rsidR="00950A40" w:rsidRDefault="00950A40" w:rsidP="00950A40">
      <w:r w:rsidRPr="002E4379">
        <w:rPr>
          <w:b/>
          <w:bCs/>
        </w:rPr>
        <w:t xml:space="preserve">Ranking ryzykownych aut wg. </w:t>
      </w:r>
      <w:proofErr w:type="spellStart"/>
      <w:r w:rsidRPr="002E4379">
        <w:rPr>
          <w:b/>
          <w:bCs/>
        </w:rPr>
        <w:t>carVertical</w:t>
      </w:r>
      <w:proofErr w:type="spellEnd"/>
      <w:r>
        <w:br/>
        <w:t xml:space="preserve">Ranking aut, w których najczęściej cofa się liczniki wg. </w:t>
      </w:r>
      <w:proofErr w:type="spellStart"/>
      <w:r>
        <w:t>carVertical</w:t>
      </w:r>
      <w:proofErr w:type="spellEnd"/>
      <w:r>
        <w:t>. W poszczególnych kolumnach mamy pozycję w rankingu (im wyżej tym gorzej), markę i model pojazdu oraz procent wykrytych egzemplarzy z cofniętym licznikiem.</w:t>
      </w:r>
    </w:p>
    <w:tbl>
      <w:tblPr>
        <w:tblStyle w:val="Tabela-Siatka"/>
        <w:tblW w:w="0" w:type="auto"/>
        <w:tblLook w:val="04A0" w:firstRow="1" w:lastRow="0" w:firstColumn="1" w:lastColumn="0" w:noHBand="0" w:noVBand="1"/>
      </w:tblPr>
      <w:tblGrid>
        <w:gridCol w:w="704"/>
        <w:gridCol w:w="2977"/>
        <w:gridCol w:w="3115"/>
      </w:tblGrid>
      <w:tr w:rsidR="00950A40" w:rsidRPr="001554ED" w14:paraId="2F4E8AFC" w14:textId="77777777" w:rsidTr="007E40BC">
        <w:tc>
          <w:tcPr>
            <w:tcW w:w="704" w:type="dxa"/>
          </w:tcPr>
          <w:p w14:paraId="0D3EE1ED" w14:textId="77777777" w:rsidR="00950A40" w:rsidRPr="001554ED" w:rsidRDefault="00950A40" w:rsidP="007E40BC">
            <w:pPr>
              <w:rPr>
                <w:sz w:val="21"/>
                <w:szCs w:val="21"/>
                <w:lang w:val="en-US"/>
              </w:rPr>
            </w:pPr>
            <w:r w:rsidRPr="001554ED">
              <w:rPr>
                <w:sz w:val="21"/>
                <w:szCs w:val="21"/>
                <w:lang w:val="en-US"/>
              </w:rPr>
              <w:t>1</w:t>
            </w:r>
          </w:p>
        </w:tc>
        <w:tc>
          <w:tcPr>
            <w:tcW w:w="2977" w:type="dxa"/>
          </w:tcPr>
          <w:p w14:paraId="406DFA45" w14:textId="77777777" w:rsidR="00950A40" w:rsidRPr="001554ED" w:rsidRDefault="00950A40" w:rsidP="007E40BC">
            <w:pPr>
              <w:rPr>
                <w:sz w:val="21"/>
                <w:szCs w:val="21"/>
                <w:lang w:val="en-US"/>
              </w:rPr>
            </w:pPr>
            <w:r w:rsidRPr="001554ED">
              <w:rPr>
                <w:sz w:val="21"/>
                <w:szCs w:val="21"/>
                <w:lang w:val="en-US"/>
              </w:rPr>
              <w:t>Audi A8</w:t>
            </w:r>
          </w:p>
        </w:tc>
        <w:tc>
          <w:tcPr>
            <w:tcW w:w="3115" w:type="dxa"/>
          </w:tcPr>
          <w:p w14:paraId="5626F33F" w14:textId="77777777" w:rsidR="00950A40" w:rsidRPr="001554ED" w:rsidRDefault="00950A40" w:rsidP="007E40BC">
            <w:pPr>
              <w:rPr>
                <w:sz w:val="21"/>
                <w:szCs w:val="21"/>
                <w:lang w:val="en-US"/>
              </w:rPr>
            </w:pPr>
            <w:r w:rsidRPr="001554ED">
              <w:rPr>
                <w:sz w:val="21"/>
                <w:szCs w:val="21"/>
                <w:lang w:val="en-US"/>
              </w:rPr>
              <w:t>31.08 %</w:t>
            </w:r>
          </w:p>
        </w:tc>
      </w:tr>
      <w:tr w:rsidR="00950A40" w:rsidRPr="001554ED" w14:paraId="0BD24637" w14:textId="77777777" w:rsidTr="007E40BC">
        <w:tc>
          <w:tcPr>
            <w:tcW w:w="704" w:type="dxa"/>
          </w:tcPr>
          <w:p w14:paraId="7336A9E1" w14:textId="77777777" w:rsidR="00950A40" w:rsidRPr="001554ED" w:rsidRDefault="00950A40" w:rsidP="007E40BC">
            <w:pPr>
              <w:rPr>
                <w:sz w:val="21"/>
                <w:szCs w:val="21"/>
                <w:lang w:val="en-US"/>
              </w:rPr>
            </w:pPr>
            <w:r w:rsidRPr="001554ED">
              <w:rPr>
                <w:sz w:val="21"/>
                <w:szCs w:val="21"/>
                <w:lang w:val="en-US"/>
              </w:rPr>
              <w:t>2</w:t>
            </w:r>
          </w:p>
        </w:tc>
        <w:tc>
          <w:tcPr>
            <w:tcW w:w="2977" w:type="dxa"/>
          </w:tcPr>
          <w:p w14:paraId="13200FC2" w14:textId="77777777" w:rsidR="00950A40" w:rsidRPr="001554ED" w:rsidRDefault="00950A40" w:rsidP="007E40BC">
            <w:pPr>
              <w:rPr>
                <w:sz w:val="21"/>
                <w:szCs w:val="21"/>
                <w:lang w:val="en-US"/>
              </w:rPr>
            </w:pPr>
            <w:r w:rsidRPr="001554ED">
              <w:rPr>
                <w:sz w:val="21"/>
                <w:szCs w:val="21"/>
                <w:lang w:val="en-US"/>
              </w:rPr>
              <w:t xml:space="preserve">Volkswagen </w:t>
            </w:r>
            <w:proofErr w:type="spellStart"/>
            <w:r w:rsidRPr="001554ED">
              <w:rPr>
                <w:sz w:val="21"/>
                <w:szCs w:val="21"/>
                <w:lang w:val="en-US"/>
              </w:rPr>
              <w:t>Touareg</w:t>
            </w:r>
            <w:proofErr w:type="spellEnd"/>
          </w:p>
        </w:tc>
        <w:tc>
          <w:tcPr>
            <w:tcW w:w="3115" w:type="dxa"/>
          </w:tcPr>
          <w:p w14:paraId="5009320F" w14:textId="77777777" w:rsidR="00950A40" w:rsidRPr="001554ED" w:rsidRDefault="00950A40" w:rsidP="007E40BC">
            <w:pPr>
              <w:rPr>
                <w:sz w:val="21"/>
                <w:szCs w:val="21"/>
                <w:lang w:val="en-US"/>
              </w:rPr>
            </w:pPr>
            <w:r w:rsidRPr="001554ED">
              <w:rPr>
                <w:sz w:val="21"/>
                <w:szCs w:val="21"/>
                <w:lang w:val="en-US"/>
              </w:rPr>
              <w:t>25.85 %</w:t>
            </w:r>
          </w:p>
        </w:tc>
      </w:tr>
      <w:tr w:rsidR="00950A40" w:rsidRPr="001554ED" w14:paraId="60D0D380" w14:textId="77777777" w:rsidTr="007E40BC">
        <w:tc>
          <w:tcPr>
            <w:tcW w:w="704" w:type="dxa"/>
          </w:tcPr>
          <w:p w14:paraId="1CDC5A83" w14:textId="77777777" w:rsidR="00950A40" w:rsidRPr="001554ED" w:rsidRDefault="00950A40" w:rsidP="007E40BC">
            <w:pPr>
              <w:rPr>
                <w:sz w:val="21"/>
                <w:szCs w:val="21"/>
                <w:lang w:val="en-US"/>
              </w:rPr>
            </w:pPr>
            <w:r w:rsidRPr="001554ED">
              <w:rPr>
                <w:sz w:val="21"/>
                <w:szCs w:val="21"/>
                <w:lang w:val="en-US"/>
              </w:rPr>
              <w:t>3</w:t>
            </w:r>
          </w:p>
        </w:tc>
        <w:tc>
          <w:tcPr>
            <w:tcW w:w="2977" w:type="dxa"/>
          </w:tcPr>
          <w:p w14:paraId="4C8925B6" w14:textId="77777777" w:rsidR="00950A40" w:rsidRPr="001554ED" w:rsidRDefault="00950A40" w:rsidP="007E40BC">
            <w:pPr>
              <w:rPr>
                <w:sz w:val="21"/>
                <w:szCs w:val="21"/>
                <w:lang w:val="en-US"/>
              </w:rPr>
            </w:pPr>
            <w:r w:rsidRPr="001554ED">
              <w:rPr>
                <w:sz w:val="21"/>
                <w:szCs w:val="21"/>
                <w:lang w:val="en-US"/>
              </w:rPr>
              <w:t>Ford Mustang</w:t>
            </w:r>
          </w:p>
        </w:tc>
        <w:tc>
          <w:tcPr>
            <w:tcW w:w="3115" w:type="dxa"/>
          </w:tcPr>
          <w:p w14:paraId="447893F4" w14:textId="77777777" w:rsidR="00950A40" w:rsidRPr="001554ED" w:rsidRDefault="00950A40" w:rsidP="007E40BC">
            <w:pPr>
              <w:rPr>
                <w:sz w:val="21"/>
                <w:szCs w:val="21"/>
                <w:lang w:val="en-US"/>
              </w:rPr>
            </w:pPr>
            <w:r w:rsidRPr="001554ED">
              <w:rPr>
                <w:sz w:val="21"/>
                <w:szCs w:val="21"/>
                <w:lang w:val="en-US"/>
              </w:rPr>
              <w:t>24.41 %</w:t>
            </w:r>
          </w:p>
        </w:tc>
      </w:tr>
      <w:tr w:rsidR="00950A40" w:rsidRPr="001554ED" w14:paraId="56EE8814" w14:textId="77777777" w:rsidTr="007E40BC">
        <w:tc>
          <w:tcPr>
            <w:tcW w:w="704" w:type="dxa"/>
          </w:tcPr>
          <w:p w14:paraId="464EC9DD" w14:textId="77777777" w:rsidR="00950A40" w:rsidRPr="001554ED" w:rsidRDefault="00950A40" w:rsidP="007E40BC">
            <w:pPr>
              <w:rPr>
                <w:sz w:val="21"/>
                <w:szCs w:val="21"/>
                <w:lang w:val="en-US"/>
              </w:rPr>
            </w:pPr>
            <w:r w:rsidRPr="001554ED">
              <w:rPr>
                <w:sz w:val="21"/>
                <w:szCs w:val="21"/>
                <w:lang w:val="en-US"/>
              </w:rPr>
              <w:t>4</w:t>
            </w:r>
          </w:p>
        </w:tc>
        <w:tc>
          <w:tcPr>
            <w:tcW w:w="2977" w:type="dxa"/>
          </w:tcPr>
          <w:p w14:paraId="57A3007F" w14:textId="77777777" w:rsidR="00950A40" w:rsidRPr="001554ED" w:rsidRDefault="00950A40" w:rsidP="007E40BC">
            <w:pPr>
              <w:rPr>
                <w:sz w:val="21"/>
                <w:szCs w:val="21"/>
                <w:lang w:val="en-US"/>
              </w:rPr>
            </w:pPr>
            <w:r w:rsidRPr="001554ED">
              <w:rPr>
                <w:sz w:val="21"/>
                <w:szCs w:val="21"/>
                <w:lang w:val="en-US"/>
              </w:rPr>
              <w:t>Audi A7</w:t>
            </w:r>
          </w:p>
        </w:tc>
        <w:tc>
          <w:tcPr>
            <w:tcW w:w="3115" w:type="dxa"/>
          </w:tcPr>
          <w:p w14:paraId="2356E07B" w14:textId="77777777" w:rsidR="00950A40" w:rsidRPr="001554ED" w:rsidRDefault="00950A40" w:rsidP="007E40BC">
            <w:pPr>
              <w:rPr>
                <w:sz w:val="21"/>
                <w:szCs w:val="21"/>
                <w:lang w:val="en-US"/>
              </w:rPr>
            </w:pPr>
            <w:r w:rsidRPr="001554ED">
              <w:rPr>
                <w:sz w:val="21"/>
                <w:szCs w:val="21"/>
                <w:lang w:val="en-US"/>
              </w:rPr>
              <w:t>24.20 %</w:t>
            </w:r>
          </w:p>
        </w:tc>
      </w:tr>
      <w:tr w:rsidR="00950A40" w:rsidRPr="001554ED" w14:paraId="4CAD8752" w14:textId="77777777" w:rsidTr="007E40BC">
        <w:tc>
          <w:tcPr>
            <w:tcW w:w="704" w:type="dxa"/>
          </w:tcPr>
          <w:p w14:paraId="17E7465A" w14:textId="77777777" w:rsidR="00950A40" w:rsidRPr="001554ED" w:rsidRDefault="00950A40" w:rsidP="007E40BC">
            <w:pPr>
              <w:rPr>
                <w:sz w:val="21"/>
                <w:szCs w:val="21"/>
                <w:lang w:val="en-US"/>
              </w:rPr>
            </w:pPr>
            <w:r w:rsidRPr="001554ED">
              <w:rPr>
                <w:sz w:val="21"/>
                <w:szCs w:val="21"/>
                <w:lang w:val="en-US"/>
              </w:rPr>
              <w:t>5</w:t>
            </w:r>
          </w:p>
        </w:tc>
        <w:tc>
          <w:tcPr>
            <w:tcW w:w="2977" w:type="dxa"/>
          </w:tcPr>
          <w:p w14:paraId="1E82B16E" w14:textId="77777777" w:rsidR="00950A40" w:rsidRPr="001554ED" w:rsidRDefault="00950A40" w:rsidP="007E40BC">
            <w:pPr>
              <w:rPr>
                <w:sz w:val="21"/>
                <w:szCs w:val="21"/>
                <w:lang w:val="en-US"/>
              </w:rPr>
            </w:pPr>
            <w:r w:rsidRPr="001554ED">
              <w:rPr>
                <w:sz w:val="21"/>
                <w:szCs w:val="21"/>
                <w:lang w:val="en-US"/>
              </w:rPr>
              <w:t>BMW X5</w:t>
            </w:r>
          </w:p>
        </w:tc>
        <w:tc>
          <w:tcPr>
            <w:tcW w:w="3115" w:type="dxa"/>
          </w:tcPr>
          <w:p w14:paraId="16DD8E6C" w14:textId="77777777" w:rsidR="00950A40" w:rsidRPr="001554ED" w:rsidRDefault="00950A40" w:rsidP="007E40BC">
            <w:pPr>
              <w:rPr>
                <w:sz w:val="21"/>
                <w:szCs w:val="21"/>
                <w:lang w:val="en-US"/>
              </w:rPr>
            </w:pPr>
            <w:r w:rsidRPr="001554ED">
              <w:rPr>
                <w:sz w:val="21"/>
                <w:szCs w:val="21"/>
                <w:lang w:val="en-US"/>
              </w:rPr>
              <w:t>23.06 %</w:t>
            </w:r>
          </w:p>
        </w:tc>
      </w:tr>
      <w:tr w:rsidR="00950A40" w:rsidRPr="001554ED" w14:paraId="13C9223E" w14:textId="77777777" w:rsidTr="007E40BC">
        <w:tc>
          <w:tcPr>
            <w:tcW w:w="704" w:type="dxa"/>
          </w:tcPr>
          <w:p w14:paraId="382D3692" w14:textId="77777777" w:rsidR="00950A40" w:rsidRPr="001554ED" w:rsidRDefault="00950A40" w:rsidP="007E40BC">
            <w:pPr>
              <w:rPr>
                <w:sz w:val="21"/>
                <w:szCs w:val="21"/>
                <w:lang w:val="en-US"/>
              </w:rPr>
            </w:pPr>
            <w:r w:rsidRPr="001554ED">
              <w:rPr>
                <w:sz w:val="21"/>
                <w:szCs w:val="21"/>
                <w:lang w:val="en-US"/>
              </w:rPr>
              <w:t>6</w:t>
            </w:r>
          </w:p>
        </w:tc>
        <w:tc>
          <w:tcPr>
            <w:tcW w:w="2977" w:type="dxa"/>
          </w:tcPr>
          <w:p w14:paraId="39935A74" w14:textId="77777777" w:rsidR="00950A40" w:rsidRPr="001554ED" w:rsidRDefault="00950A40" w:rsidP="007E40BC">
            <w:pPr>
              <w:rPr>
                <w:sz w:val="21"/>
                <w:szCs w:val="21"/>
                <w:lang w:val="en-US"/>
              </w:rPr>
            </w:pPr>
            <w:r w:rsidRPr="001554ED">
              <w:rPr>
                <w:sz w:val="21"/>
                <w:szCs w:val="21"/>
                <w:lang w:val="en-US"/>
              </w:rPr>
              <w:t>BMW 7</w:t>
            </w:r>
          </w:p>
        </w:tc>
        <w:tc>
          <w:tcPr>
            <w:tcW w:w="3115" w:type="dxa"/>
          </w:tcPr>
          <w:p w14:paraId="6501DEB1" w14:textId="77777777" w:rsidR="00950A40" w:rsidRPr="001554ED" w:rsidRDefault="00950A40" w:rsidP="007E40BC">
            <w:pPr>
              <w:rPr>
                <w:sz w:val="21"/>
                <w:szCs w:val="21"/>
                <w:lang w:val="en-US"/>
              </w:rPr>
            </w:pPr>
            <w:r w:rsidRPr="001554ED">
              <w:rPr>
                <w:sz w:val="21"/>
                <w:szCs w:val="21"/>
                <w:lang w:val="en-US"/>
              </w:rPr>
              <w:t>22.60 %</w:t>
            </w:r>
          </w:p>
        </w:tc>
      </w:tr>
      <w:tr w:rsidR="00950A40" w:rsidRPr="001554ED" w14:paraId="15064977" w14:textId="77777777" w:rsidTr="007E40BC">
        <w:tc>
          <w:tcPr>
            <w:tcW w:w="704" w:type="dxa"/>
          </w:tcPr>
          <w:p w14:paraId="26335441" w14:textId="77777777" w:rsidR="00950A40" w:rsidRPr="001554ED" w:rsidRDefault="00950A40" w:rsidP="007E40BC">
            <w:pPr>
              <w:rPr>
                <w:sz w:val="21"/>
                <w:szCs w:val="21"/>
                <w:lang w:val="en-US"/>
              </w:rPr>
            </w:pPr>
            <w:r w:rsidRPr="001554ED">
              <w:rPr>
                <w:sz w:val="21"/>
                <w:szCs w:val="21"/>
                <w:lang w:val="en-US"/>
              </w:rPr>
              <w:t>7</w:t>
            </w:r>
          </w:p>
        </w:tc>
        <w:tc>
          <w:tcPr>
            <w:tcW w:w="2977" w:type="dxa"/>
          </w:tcPr>
          <w:p w14:paraId="1A341024" w14:textId="77777777" w:rsidR="00950A40" w:rsidRPr="001554ED" w:rsidRDefault="00950A40" w:rsidP="007E40BC">
            <w:pPr>
              <w:rPr>
                <w:sz w:val="21"/>
                <w:szCs w:val="21"/>
                <w:lang w:val="en-US"/>
              </w:rPr>
            </w:pPr>
            <w:r w:rsidRPr="001554ED">
              <w:rPr>
                <w:sz w:val="21"/>
                <w:szCs w:val="21"/>
                <w:lang w:val="en-US"/>
              </w:rPr>
              <w:t>Audi A6</w:t>
            </w:r>
          </w:p>
        </w:tc>
        <w:tc>
          <w:tcPr>
            <w:tcW w:w="3115" w:type="dxa"/>
          </w:tcPr>
          <w:p w14:paraId="5A5BF657" w14:textId="77777777" w:rsidR="00950A40" w:rsidRPr="001554ED" w:rsidRDefault="00950A40" w:rsidP="007E40BC">
            <w:pPr>
              <w:rPr>
                <w:sz w:val="21"/>
                <w:szCs w:val="21"/>
                <w:lang w:val="en-US"/>
              </w:rPr>
            </w:pPr>
            <w:r w:rsidRPr="001554ED">
              <w:rPr>
                <w:sz w:val="21"/>
                <w:szCs w:val="21"/>
                <w:lang w:val="en-US"/>
              </w:rPr>
              <w:t>22.52 %</w:t>
            </w:r>
          </w:p>
        </w:tc>
      </w:tr>
      <w:tr w:rsidR="00950A40" w:rsidRPr="001554ED" w14:paraId="2B3E9F41" w14:textId="77777777" w:rsidTr="007E40BC">
        <w:tc>
          <w:tcPr>
            <w:tcW w:w="704" w:type="dxa"/>
          </w:tcPr>
          <w:p w14:paraId="2D3D1640" w14:textId="77777777" w:rsidR="00950A40" w:rsidRPr="001554ED" w:rsidRDefault="00950A40" w:rsidP="007E40BC">
            <w:pPr>
              <w:rPr>
                <w:sz w:val="21"/>
                <w:szCs w:val="21"/>
                <w:lang w:val="en-US"/>
              </w:rPr>
            </w:pPr>
            <w:r w:rsidRPr="001554ED">
              <w:rPr>
                <w:sz w:val="21"/>
                <w:szCs w:val="21"/>
                <w:lang w:val="en-US"/>
              </w:rPr>
              <w:t>8</w:t>
            </w:r>
          </w:p>
        </w:tc>
        <w:tc>
          <w:tcPr>
            <w:tcW w:w="2977" w:type="dxa"/>
          </w:tcPr>
          <w:p w14:paraId="1B8B5BAF" w14:textId="77777777" w:rsidR="00950A40" w:rsidRPr="001554ED" w:rsidRDefault="00950A40" w:rsidP="007E40BC">
            <w:pPr>
              <w:rPr>
                <w:sz w:val="21"/>
                <w:szCs w:val="21"/>
                <w:lang w:val="en-US"/>
              </w:rPr>
            </w:pPr>
            <w:r w:rsidRPr="001554ED">
              <w:rPr>
                <w:sz w:val="21"/>
                <w:szCs w:val="21"/>
                <w:lang w:val="en-US"/>
              </w:rPr>
              <w:t>BMW X6</w:t>
            </w:r>
          </w:p>
        </w:tc>
        <w:tc>
          <w:tcPr>
            <w:tcW w:w="3115" w:type="dxa"/>
          </w:tcPr>
          <w:p w14:paraId="4C491886" w14:textId="77777777" w:rsidR="00950A40" w:rsidRPr="001554ED" w:rsidRDefault="00950A40" w:rsidP="007E40BC">
            <w:pPr>
              <w:rPr>
                <w:sz w:val="21"/>
                <w:szCs w:val="21"/>
                <w:lang w:val="en-US"/>
              </w:rPr>
            </w:pPr>
            <w:r w:rsidRPr="001554ED">
              <w:rPr>
                <w:sz w:val="21"/>
                <w:szCs w:val="21"/>
                <w:lang w:val="en-US"/>
              </w:rPr>
              <w:t>22.36 %</w:t>
            </w:r>
          </w:p>
        </w:tc>
      </w:tr>
      <w:tr w:rsidR="00950A40" w:rsidRPr="001554ED" w14:paraId="2BA8297D" w14:textId="77777777" w:rsidTr="007E40BC">
        <w:tc>
          <w:tcPr>
            <w:tcW w:w="704" w:type="dxa"/>
          </w:tcPr>
          <w:p w14:paraId="1C703A89" w14:textId="77777777" w:rsidR="00950A40" w:rsidRPr="001554ED" w:rsidRDefault="00950A40" w:rsidP="007E40BC">
            <w:pPr>
              <w:rPr>
                <w:sz w:val="21"/>
                <w:szCs w:val="21"/>
                <w:lang w:val="en-US"/>
              </w:rPr>
            </w:pPr>
            <w:r w:rsidRPr="001554ED">
              <w:rPr>
                <w:sz w:val="21"/>
                <w:szCs w:val="21"/>
                <w:lang w:val="en-US"/>
              </w:rPr>
              <w:t>9</w:t>
            </w:r>
          </w:p>
        </w:tc>
        <w:tc>
          <w:tcPr>
            <w:tcW w:w="2977" w:type="dxa"/>
          </w:tcPr>
          <w:p w14:paraId="18825CE8" w14:textId="77777777" w:rsidR="00950A40" w:rsidRPr="001554ED" w:rsidRDefault="00950A40" w:rsidP="007E40BC">
            <w:pPr>
              <w:rPr>
                <w:sz w:val="21"/>
                <w:szCs w:val="21"/>
                <w:lang w:val="en-US"/>
              </w:rPr>
            </w:pPr>
            <w:r w:rsidRPr="001554ED">
              <w:rPr>
                <w:sz w:val="21"/>
                <w:szCs w:val="21"/>
                <w:lang w:val="en-US"/>
              </w:rPr>
              <w:t>Audi Q7</w:t>
            </w:r>
          </w:p>
        </w:tc>
        <w:tc>
          <w:tcPr>
            <w:tcW w:w="3115" w:type="dxa"/>
          </w:tcPr>
          <w:p w14:paraId="5C330087" w14:textId="77777777" w:rsidR="00950A40" w:rsidRPr="001554ED" w:rsidRDefault="00950A40" w:rsidP="007E40BC">
            <w:pPr>
              <w:rPr>
                <w:sz w:val="21"/>
                <w:szCs w:val="21"/>
                <w:lang w:val="en-US"/>
              </w:rPr>
            </w:pPr>
            <w:r w:rsidRPr="001554ED">
              <w:rPr>
                <w:sz w:val="21"/>
                <w:szCs w:val="21"/>
                <w:lang w:val="en-US"/>
              </w:rPr>
              <w:t>21.99 %</w:t>
            </w:r>
          </w:p>
        </w:tc>
      </w:tr>
      <w:tr w:rsidR="00950A40" w:rsidRPr="001554ED" w14:paraId="40FBA3AE" w14:textId="77777777" w:rsidTr="007E40BC">
        <w:tc>
          <w:tcPr>
            <w:tcW w:w="704" w:type="dxa"/>
          </w:tcPr>
          <w:p w14:paraId="6D4C7035" w14:textId="77777777" w:rsidR="00950A40" w:rsidRPr="001554ED" w:rsidRDefault="00950A40" w:rsidP="007E40BC">
            <w:pPr>
              <w:rPr>
                <w:sz w:val="21"/>
                <w:szCs w:val="21"/>
                <w:lang w:val="en-US"/>
              </w:rPr>
            </w:pPr>
            <w:r w:rsidRPr="001554ED">
              <w:rPr>
                <w:sz w:val="21"/>
                <w:szCs w:val="21"/>
                <w:lang w:val="en-US"/>
              </w:rPr>
              <w:t>10</w:t>
            </w:r>
          </w:p>
        </w:tc>
        <w:tc>
          <w:tcPr>
            <w:tcW w:w="2977" w:type="dxa"/>
          </w:tcPr>
          <w:p w14:paraId="28798C41" w14:textId="77777777" w:rsidR="00950A40" w:rsidRPr="001554ED" w:rsidRDefault="00950A40" w:rsidP="007E40BC">
            <w:pPr>
              <w:rPr>
                <w:sz w:val="21"/>
                <w:szCs w:val="21"/>
                <w:lang w:val="en-US"/>
              </w:rPr>
            </w:pPr>
            <w:r w:rsidRPr="001554ED">
              <w:rPr>
                <w:sz w:val="21"/>
                <w:szCs w:val="21"/>
                <w:lang w:val="en-US"/>
              </w:rPr>
              <w:t>Volkswagen Sharan</w:t>
            </w:r>
          </w:p>
        </w:tc>
        <w:tc>
          <w:tcPr>
            <w:tcW w:w="3115" w:type="dxa"/>
          </w:tcPr>
          <w:p w14:paraId="5A065BC6" w14:textId="77777777" w:rsidR="00950A40" w:rsidRPr="001554ED" w:rsidRDefault="00950A40" w:rsidP="007E40BC">
            <w:pPr>
              <w:rPr>
                <w:sz w:val="21"/>
                <w:szCs w:val="21"/>
                <w:lang w:val="en-US"/>
              </w:rPr>
            </w:pPr>
            <w:r w:rsidRPr="001554ED">
              <w:rPr>
                <w:sz w:val="21"/>
                <w:szCs w:val="21"/>
                <w:lang w:val="en-US"/>
              </w:rPr>
              <w:t>21.77 %</w:t>
            </w:r>
          </w:p>
        </w:tc>
      </w:tr>
      <w:tr w:rsidR="00950A40" w:rsidRPr="001554ED" w14:paraId="00BB70F7" w14:textId="77777777" w:rsidTr="007E40BC">
        <w:tc>
          <w:tcPr>
            <w:tcW w:w="704" w:type="dxa"/>
          </w:tcPr>
          <w:p w14:paraId="10C32181" w14:textId="77777777" w:rsidR="00950A40" w:rsidRPr="001554ED" w:rsidRDefault="00950A40" w:rsidP="007E40BC">
            <w:pPr>
              <w:rPr>
                <w:sz w:val="21"/>
                <w:szCs w:val="21"/>
                <w:lang w:val="en-US"/>
              </w:rPr>
            </w:pPr>
            <w:r w:rsidRPr="001554ED">
              <w:rPr>
                <w:sz w:val="21"/>
                <w:szCs w:val="21"/>
                <w:lang w:val="en-US"/>
              </w:rPr>
              <w:t>11</w:t>
            </w:r>
          </w:p>
        </w:tc>
        <w:tc>
          <w:tcPr>
            <w:tcW w:w="2977" w:type="dxa"/>
          </w:tcPr>
          <w:p w14:paraId="28E91CCB" w14:textId="77777777" w:rsidR="00950A40" w:rsidRPr="001554ED" w:rsidRDefault="00950A40" w:rsidP="007E40BC">
            <w:pPr>
              <w:rPr>
                <w:sz w:val="21"/>
                <w:szCs w:val="21"/>
                <w:lang w:val="en-US"/>
              </w:rPr>
            </w:pPr>
            <w:r w:rsidRPr="001554ED">
              <w:rPr>
                <w:sz w:val="21"/>
                <w:szCs w:val="21"/>
                <w:lang w:val="en-US"/>
              </w:rPr>
              <w:t>BMW 6 Series</w:t>
            </w:r>
          </w:p>
        </w:tc>
        <w:tc>
          <w:tcPr>
            <w:tcW w:w="3115" w:type="dxa"/>
          </w:tcPr>
          <w:p w14:paraId="120263CD" w14:textId="77777777" w:rsidR="00950A40" w:rsidRPr="001554ED" w:rsidRDefault="00950A40" w:rsidP="007E40BC">
            <w:pPr>
              <w:rPr>
                <w:sz w:val="21"/>
                <w:szCs w:val="21"/>
                <w:lang w:val="en-US"/>
              </w:rPr>
            </w:pPr>
            <w:r w:rsidRPr="001554ED">
              <w:rPr>
                <w:sz w:val="21"/>
                <w:szCs w:val="21"/>
                <w:lang w:val="en-US"/>
              </w:rPr>
              <w:t>20.76 %</w:t>
            </w:r>
          </w:p>
        </w:tc>
      </w:tr>
      <w:tr w:rsidR="00950A40" w:rsidRPr="001554ED" w14:paraId="17366A47" w14:textId="77777777" w:rsidTr="007E40BC">
        <w:tc>
          <w:tcPr>
            <w:tcW w:w="704" w:type="dxa"/>
          </w:tcPr>
          <w:p w14:paraId="31E95DC4" w14:textId="77777777" w:rsidR="00950A40" w:rsidRPr="001554ED" w:rsidRDefault="00950A40" w:rsidP="007E40BC">
            <w:pPr>
              <w:rPr>
                <w:sz w:val="21"/>
                <w:szCs w:val="21"/>
                <w:lang w:val="en-US"/>
              </w:rPr>
            </w:pPr>
            <w:r w:rsidRPr="001554ED">
              <w:rPr>
                <w:sz w:val="21"/>
                <w:szCs w:val="21"/>
                <w:lang w:val="en-US"/>
              </w:rPr>
              <w:t>12</w:t>
            </w:r>
          </w:p>
        </w:tc>
        <w:tc>
          <w:tcPr>
            <w:tcW w:w="2977" w:type="dxa"/>
          </w:tcPr>
          <w:p w14:paraId="60BEFE38" w14:textId="77777777" w:rsidR="00950A40" w:rsidRPr="001554ED" w:rsidRDefault="00950A40" w:rsidP="007E40BC">
            <w:pPr>
              <w:rPr>
                <w:sz w:val="21"/>
                <w:szCs w:val="21"/>
                <w:lang w:val="en-US"/>
              </w:rPr>
            </w:pPr>
            <w:r w:rsidRPr="001554ED">
              <w:rPr>
                <w:sz w:val="21"/>
                <w:szCs w:val="21"/>
                <w:lang w:val="en-US"/>
              </w:rPr>
              <w:t>Volkswagen CC</w:t>
            </w:r>
          </w:p>
        </w:tc>
        <w:tc>
          <w:tcPr>
            <w:tcW w:w="3115" w:type="dxa"/>
          </w:tcPr>
          <w:p w14:paraId="1A2BA3C5" w14:textId="77777777" w:rsidR="00950A40" w:rsidRPr="001554ED" w:rsidRDefault="00950A40" w:rsidP="007E40BC">
            <w:pPr>
              <w:rPr>
                <w:sz w:val="21"/>
                <w:szCs w:val="21"/>
                <w:lang w:val="en-US"/>
              </w:rPr>
            </w:pPr>
            <w:r w:rsidRPr="001554ED">
              <w:rPr>
                <w:sz w:val="21"/>
                <w:szCs w:val="21"/>
                <w:lang w:val="en-US"/>
              </w:rPr>
              <w:t>20.32 %</w:t>
            </w:r>
          </w:p>
        </w:tc>
      </w:tr>
      <w:tr w:rsidR="00950A40" w:rsidRPr="001554ED" w14:paraId="0B596D45" w14:textId="77777777" w:rsidTr="007E40BC">
        <w:tc>
          <w:tcPr>
            <w:tcW w:w="704" w:type="dxa"/>
          </w:tcPr>
          <w:p w14:paraId="1D97D1A1" w14:textId="77777777" w:rsidR="00950A40" w:rsidRPr="001554ED" w:rsidRDefault="00950A40" w:rsidP="007E40BC">
            <w:pPr>
              <w:rPr>
                <w:sz w:val="21"/>
                <w:szCs w:val="21"/>
                <w:lang w:val="en-US"/>
              </w:rPr>
            </w:pPr>
            <w:r w:rsidRPr="001554ED">
              <w:rPr>
                <w:sz w:val="21"/>
                <w:szCs w:val="21"/>
                <w:lang w:val="en-US"/>
              </w:rPr>
              <w:t>13</w:t>
            </w:r>
          </w:p>
        </w:tc>
        <w:tc>
          <w:tcPr>
            <w:tcW w:w="2977" w:type="dxa"/>
          </w:tcPr>
          <w:p w14:paraId="6451CAED" w14:textId="77777777" w:rsidR="00950A40" w:rsidRPr="001554ED" w:rsidRDefault="00950A40" w:rsidP="007E40BC">
            <w:pPr>
              <w:rPr>
                <w:sz w:val="21"/>
                <w:szCs w:val="21"/>
                <w:lang w:val="en-US"/>
              </w:rPr>
            </w:pPr>
            <w:r w:rsidRPr="001554ED">
              <w:rPr>
                <w:sz w:val="21"/>
                <w:szCs w:val="21"/>
                <w:lang w:val="en-US"/>
              </w:rPr>
              <w:t>Volkswagen Jetta</w:t>
            </w:r>
          </w:p>
        </w:tc>
        <w:tc>
          <w:tcPr>
            <w:tcW w:w="3115" w:type="dxa"/>
          </w:tcPr>
          <w:p w14:paraId="30E2E434" w14:textId="77777777" w:rsidR="00950A40" w:rsidRPr="001554ED" w:rsidRDefault="00950A40" w:rsidP="007E40BC">
            <w:pPr>
              <w:rPr>
                <w:sz w:val="21"/>
                <w:szCs w:val="21"/>
                <w:lang w:val="en-US"/>
              </w:rPr>
            </w:pPr>
            <w:r w:rsidRPr="001554ED">
              <w:rPr>
                <w:sz w:val="21"/>
                <w:szCs w:val="21"/>
                <w:lang w:val="en-US"/>
              </w:rPr>
              <w:t>20.04 %</w:t>
            </w:r>
          </w:p>
        </w:tc>
      </w:tr>
      <w:tr w:rsidR="00950A40" w:rsidRPr="001554ED" w14:paraId="6AB27069" w14:textId="77777777" w:rsidTr="007E40BC">
        <w:tc>
          <w:tcPr>
            <w:tcW w:w="704" w:type="dxa"/>
          </w:tcPr>
          <w:p w14:paraId="00C1A365" w14:textId="77777777" w:rsidR="00950A40" w:rsidRPr="001554ED" w:rsidRDefault="00950A40" w:rsidP="007E40BC">
            <w:pPr>
              <w:rPr>
                <w:sz w:val="21"/>
                <w:szCs w:val="21"/>
                <w:lang w:val="en-US"/>
              </w:rPr>
            </w:pPr>
            <w:r w:rsidRPr="001554ED">
              <w:rPr>
                <w:sz w:val="21"/>
                <w:szCs w:val="21"/>
                <w:lang w:val="en-US"/>
              </w:rPr>
              <w:t>14</w:t>
            </w:r>
          </w:p>
        </w:tc>
        <w:tc>
          <w:tcPr>
            <w:tcW w:w="2977" w:type="dxa"/>
          </w:tcPr>
          <w:p w14:paraId="1FA61D6E" w14:textId="77777777" w:rsidR="00950A40" w:rsidRPr="001554ED" w:rsidRDefault="00950A40" w:rsidP="007E40BC">
            <w:pPr>
              <w:rPr>
                <w:sz w:val="21"/>
                <w:szCs w:val="21"/>
                <w:lang w:val="en-US"/>
              </w:rPr>
            </w:pPr>
            <w:r w:rsidRPr="001554ED">
              <w:rPr>
                <w:sz w:val="21"/>
                <w:szCs w:val="21"/>
                <w:lang w:val="en-US"/>
              </w:rPr>
              <w:t>Audi A5</w:t>
            </w:r>
          </w:p>
        </w:tc>
        <w:tc>
          <w:tcPr>
            <w:tcW w:w="3115" w:type="dxa"/>
          </w:tcPr>
          <w:p w14:paraId="42C3C03B" w14:textId="77777777" w:rsidR="00950A40" w:rsidRPr="001554ED" w:rsidRDefault="00950A40" w:rsidP="007E40BC">
            <w:pPr>
              <w:rPr>
                <w:sz w:val="21"/>
                <w:szCs w:val="21"/>
                <w:lang w:val="en-US"/>
              </w:rPr>
            </w:pPr>
            <w:r w:rsidRPr="001554ED">
              <w:rPr>
                <w:sz w:val="21"/>
                <w:szCs w:val="21"/>
                <w:lang w:val="en-US"/>
              </w:rPr>
              <w:t>19.95 %</w:t>
            </w:r>
          </w:p>
        </w:tc>
      </w:tr>
      <w:tr w:rsidR="00950A40" w:rsidRPr="001554ED" w14:paraId="55761E00" w14:textId="77777777" w:rsidTr="007E40BC">
        <w:tc>
          <w:tcPr>
            <w:tcW w:w="704" w:type="dxa"/>
          </w:tcPr>
          <w:p w14:paraId="5A8F4D8D" w14:textId="77777777" w:rsidR="00950A40" w:rsidRPr="001554ED" w:rsidRDefault="00950A40" w:rsidP="007E40BC">
            <w:pPr>
              <w:rPr>
                <w:sz w:val="21"/>
                <w:szCs w:val="21"/>
                <w:lang w:val="en-US"/>
              </w:rPr>
            </w:pPr>
            <w:r w:rsidRPr="001554ED">
              <w:rPr>
                <w:sz w:val="21"/>
                <w:szCs w:val="21"/>
                <w:lang w:val="en-US"/>
              </w:rPr>
              <w:t>15</w:t>
            </w:r>
          </w:p>
        </w:tc>
        <w:tc>
          <w:tcPr>
            <w:tcW w:w="2977" w:type="dxa"/>
          </w:tcPr>
          <w:p w14:paraId="469EF928" w14:textId="77777777" w:rsidR="00950A40" w:rsidRPr="001554ED" w:rsidRDefault="00950A40" w:rsidP="007E40BC">
            <w:pPr>
              <w:rPr>
                <w:sz w:val="21"/>
                <w:szCs w:val="21"/>
                <w:lang w:val="en-US"/>
              </w:rPr>
            </w:pPr>
            <w:r w:rsidRPr="001554ED">
              <w:rPr>
                <w:sz w:val="21"/>
                <w:szCs w:val="21"/>
                <w:lang w:val="en-US"/>
              </w:rPr>
              <w:t>Volkswagen Passat</w:t>
            </w:r>
          </w:p>
        </w:tc>
        <w:tc>
          <w:tcPr>
            <w:tcW w:w="3115" w:type="dxa"/>
          </w:tcPr>
          <w:p w14:paraId="5BC952B0" w14:textId="77777777" w:rsidR="00950A40" w:rsidRPr="001554ED" w:rsidRDefault="00950A40" w:rsidP="007E40BC">
            <w:pPr>
              <w:rPr>
                <w:sz w:val="21"/>
                <w:szCs w:val="21"/>
                <w:lang w:val="en-US"/>
              </w:rPr>
            </w:pPr>
            <w:r w:rsidRPr="001554ED">
              <w:rPr>
                <w:sz w:val="21"/>
                <w:szCs w:val="21"/>
                <w:lang w:val="en-US"/>
              </w:rPr>
              <w:t>19.75 %</w:t>
            </w:r>
          </w:p>
        </w:tc>
      </w:tr>
      <w:tr w:rsidR="00950A40" w:rsidRPr="001554ED" w14:paraId="7578E84F" w14:textId="77777777" w:rsidTr="007E40BC">
        <w:tc>
          <w:tcPr>
            <w:tcW w:w="704" w:type="dxa"/>
          </w:tcPr>
          <w:p w14:paraId="2F69CDB4" w14:textId="77777777" w:rsidR="00950A40" w:rsidRPr="001554ED" w:rsidRDefault="00950A40" w:rsidP="007E40BC">
            <w:pPr>
              <w:rPr>
                <w:sz w:val="21"/>
                <w:szCs w:val="21"/>
                <w:lang w:val="en-US"/>
              </w:rPr>
            </w:pPr>
            <w:r w:rsidRPr="001554ED">
              <w:rPr>
                <w:sz w:val="21"/>
                <w:szCs w:val="21"/>
                <w:lang w:val="en-US"/>
              </w:rPr>
              <w:t>16</w:t>
            </w:r>
          </w:p>
        </w:tc>
        <w:tc>
          <w:tcPr>
            <w:tcW w:w="2977" w:type="dxa"/>
          </w:tcPr>
          <w:p w14:paraId="090534DB" w14:textId="77777777" w:rsidR="00950A40" w:rsidRPr="001554ED" w:rsidRDefault="00950A40" w:rsidP="007E40BC">
            <w:pPr>
              <w:rPr>
                <w:sz w:val="21"/>
                <w:szCs w:val="21"/>
                <w:lang w:val="en-US"/>
              </w:rPr>
            </w:pPr>
            <w:r w:rsidRPr="001554ED">
              <w:rPr>
                <w:sz w:val="21"/>
                <w:szCs w:val="21"/>
                <w:lang w:val="en-US"/>
              </w:rPr>
              <w:t>Opel Insignia</w:t>
            </w:r>
          </w:p>
        </w:tc>
        <w:tc>
          <w:tcPr>
            <w:tcW w:w="3115" w:type="dxa"/>
          </w:tcPr>
          <w:p w14:paraId="27C96D75" w14:textId="77777777" w:rsidR="00950A40" w:rsidRPr="001554ED" w:rsidRDefault="00950A40" w:rsidP="007E40BC">
            <w:pPr>
              <w:rPr>
                <w:sz w:val="21"/>
                <w:szCs w:val="21"/>
                <w:lang w:val="en-US"/>
              </w:rPr>
            </w:pPr>
            <w:r w:rsidRPr="001554ED">
              <w:rPr>
                <w:sz w:val="21"/>
                <w:szCs w:val="21"/>
                <w:lang w:val="en-US"/>
              </w:rPr>
              <w:t>19.44 %</w:t>
            </w:r>
          </w:p>
        </w:tc>
      </w:tr>
      <w:tr w:rsidR="00950A40" w:rsidRPr="001554ED" w14:paraId="78A439D0" w14:textId="77777777" w:rsidTr="007E40BC">
        <w:tc>
          <w:tcPr>
            <w:tcW w:w="704" w:type="dxa"/>
          </w:tcPr>
          <w:p w14:paraId="3A75117D" w14:textId="77777777" w:rsidR="00950A40" w:rsidRPr="001554ED" w:rsidRDefault="00950A40" w:rsidP="007E40BC">
            <w:pPr>
              <w:rPr>
                <w:sz w:val="21"/>
                <w:szCs w:val="21"/>
                <w:lang w:val="en-US"/>
              </w:rPr>
            </w:pPr>
            <w:r w:rsidRPr="001554ED">
              <w:rPr>
                <w:sz w:val="21"/>
                <w:szCs w:val="21"/>
                <w:lang w:val="en-US"/>
              </w:rPr>
              <w:t>17</w:t>
            </w:r>
          </w:p>
        </w:tc>
        <w:tc>
          <w:tcPr>
            <w:tcW w:w="2977" w:type="dxa"/>
          </w:tcPr>
          <w:p w14:paraId="382CCCBD" w14:textId="77777777" w:rsidR="00950A40" w:rsidRPr="001554ED" w:rsidRDefault="00950A40" w:rsidP="007E40BC">
            <w:pPr>
              <w:rPr>
                <w:sz w:val="21"/>
                <w:szCs w:val="21"/>
                <w:lang w:val="en-US"/>
              </w:rPr>
            </w:pPr>
            <w:r w:rsidRPr="001554ED">
              <w:rPr>
                <w:sz w:val="21"/>
                <w:szCs w:val="21"/>
                <w:lang w:val="en-US"/>
              </w:rPr>
              <w:t>Porsche Cayenne</w:t>
            </w:r>
          </w:p>
        </w:tc>
        <w:tc>
          <w:tcPr>
            <w:tcW w:w="3115" w:type="dxa"/>
          </w:tcPr>
          <w:p w14:paraId="29B750D1" w14:textId="77777777" w:rsidR="00950A40" w:rsidRPr="001554ED" w:rsidRDefault="00950A40" w:rsidP="007E40BC">
            <w:pPr>
              <w:rPr>
                <w:sz w:val="21"/>
                <w:szCs w:val="21"/>
                <w:lang w:val="en-US"/>
              </w:rPr>
            </w:pPr>
            <w:r w:rsidRPr="001554ED">
              <w:rPr>
                <w:sz w:val="21"/>
                <w:szCs w:val="21"/>
                <w:lang w:val="en-US"/>
              </w:rPr>
              <w:t>19.27 %</w:t>
            </w:r>
          </w:p>
        </w:tc>
      </w:tr>
      <w:tr w:rsidR="00950A40" w:rsidRPr="001554ED" w14:paraId="409F161F" w14:textId="77777777" w:rsidTr="007E40BC">
        <w:tc>
          <w:tcPr>
            <w:tcW w:w="704" w:type="dxa"/>
          </w:tcPr>
          <w:p w14:paraId="4F4AE33D" w14:textId="77777777" w:rsidR="00950A40" w:rsidRPr="001554ED" w:rsidRDefault="00950A40" w:rsidP="007E40BC">
            <w:pPr>
              <w:rPr>
                <w:sz w:val="21"/>
                <w:szCs w:val="21"/>
                <w:lang w:val="en-US"/>
              </w:rPr>
            </w:pPr>
            <w:r w:rsidRPr="001554ED">
              <w:rPr>
                <w:sz w:val="21"/>
                <w:szCs w:val="21"/>
                <w:lang w:val="en-US"/>
              </w:rPr>
              <w:t>18</w:t>
            </w:r>
          </w:p>
        </w:tc>
        <w:tc>
          <w:tcPr>
            <w:tcW w:w="2977" w:type="dxa"/>
          </w:tcPr>
          <w:p w14:paraId="06FC6C9C" w14:textId="77777777" w:rsidR="00950A40" w:rsidRPr="001554ED" w:rsidRDefault="00950A40" w:rsidP="007E40BC">
            <w:pPr>
              <w:rPr>
                <w:sz w:val="21"/>
                <w:szCs w:val="21"/>
                <w:lang w:val="en-US"/>
              </w:rPr>
            </w:pPr>
            <w:r w:rsidRPr="001554ED">
              <w:rPr>
                <w:sz w:val="21"/>
                <w:szCs w:val="21"/>
                <w:lang w:val="en-US"/>
              </w:rPr>
              <w:t>BMW 5</w:t>
            </w:r>
          </w:p>
        </w:tc>
        <w:tc>
          <w:tcPr>
            <w:tcW w:w="3115" w:type="dxa"/>
          </w:tcPr>
          <w:p w14:paraId="1CDF6129" w14:textId="77777777" w:rsidR="00950A40" w:rsidRPr="001554ED" w:rsidRDefault="00950A40" w:rsidP="007E40BC">
            <w:pPr>
              <w:rPr>
                <w:sz w:val="21"/>
                <w:szCs w:val="21"/>
                <w:lang w:val="en-US"/>
              </w:rPr>
            </w:pPr>
            <w:r w:rsidRPr="001554ED">
              <w:rPr>
                <w:sz w:val="21"/>
                <w:szCs w:val="21"/>
                <w:lang w:val="en-US"/>
              </w:rPr>
              <w:t>18.01 %</w:t>
            </w:r>
          </w:p>
        </w:tc>
      </w:tr>
      <w:tr w:rsidR="00950A40" w:rsidRPr="001554ED" w14:paraId="697663F2" w14:textId="77777777" w:rsidTr="007E40BC">
        <w:tc>
          <w:tcPr>
            <w:tcW w:w="704" w:type="dxa"/>
          </w:tcPr>
          <w:p w14:paraId="32206DE4" w14:textId="77777777" w:rsidR="00950A40" w:rsidRPr="001554ED" w:rsidRDefault="00950A40" w:rsidP="007E40BC">
            <w:pPr>
              <w:rPr>
                <w:sz w:val="21"/>
                <w:szCs w:val="21"/>
                <w:lang w:val="en-US"/>
              </w:rPr>
            </w:pPr>
            <w:r w:rsidRPr="001554ED">
              <w:rPr>
                <w:sz w:val="21"/>
                <w:szCs w:val="21"/>
                <w:lang w:val="en-US"/>
              </w:rPr>
              <w:t>19</w:t>
            </w:r>
          </w:p>
        </w:tc>
        <w:tc>
          <w:tcPr>
            <w:tcW w:w="2977" w:type="dxa"/>
          </w:tcPr>
          <w:p w14:paraId="21249A5F" w14:textId="77777777" w:rsidR="00950A40" w:rsidRPr="001554ED" w:rsidRDefault="00950A40" w:rsidP="007E40BC">
            <w:pPr>
              <w:rPr>
                <w:sz w:val="21"/>
                <w:szCs w:val="21"/>
                <w:lang w:val="en-US"/>
              </w:rPr>
            </w:pPr>
            <w:r w:rsidRPr="001554ED">
              <w:rPr>
                <w:sz w:val="21"/>
                <w:szCs w:val="21"/>
                <w:lang w:val="en-US"/>
              </w:rPr>
              <w:t>Audi Q5</w:t>
            </w:r>
          </w:p>
        </w:tc>
        <w:tc>
          <w:tcPr>
            <w:tcW w:w="3115" w:type="dxa"/>
          </w:tcPr>
          <w:p w14:paraId="1443007C" w14:textId="77777777" w:rsidR="00950A40" w:rsidRPr="001554ED" w:rsidRDefault="00950A40" w:rsidP="007E40BC">
            <w:pPr>
              <w:rPr>
                <w:sz w:val="21"/>
                <w:szCs w:val="21"/>
                <w:lang w:val="en-US"/>
              </w:rPr>
            </w:pPr>
            <w:r w:rsidRPr="001554ED">
              <w:rPr>
                <w:sz w:val="21"/>
                <w:szCs w:val="21"/>
                <w:lang w:val="en-US"/>
              </w:rPr>
              <w:t>17.87 %</w:t>
            </w:r>
          </w:p>
        </w:tc>
      </w:tr>
      <w:tr w:rsidR="00950A40" w:rsidRPr="001554ED" w14:paraId="2ECA3705" w14:textId="77777777" w:rsidTr="007E40BC">
        <w:tc>
          <w:tcPr>
            <w:tcW w:w="704" w:type="dxa"/>
          </w:tcPr>
          <w:p w14:paraId="7DE51F04" w14:textId="77777777" w:rsidR="00950A40" w:rsidRPr="001554ED" w:rsidRDefault="00950A40" w:rsidP="007E40BC">
            <w:pPr>
              <w:rPr>
                <w:sz w:val="21"/>
                <w:szCs w:val="21"/>
                <w:lang w:val="en-US"/>
              </w:rPr>
            </w:pPr>
            <w:r w:rsidRPr="001554ED">
              <w:rPr>
                <w:sz w:val="21"/>
                <w:szCs w:val="21"/>
                <w:lang w:val="en-US"/>
              </w:rPr>
              <w:t>20</w:t>
            </w:r>
          </w:p>
        </w:tc>
        <w:tc>
          <w:tcPr>
            <w:tcW w:w="2977" w:type="dxa"/>
          </w:tcPr>
          <w:p w14:paraId="59E3D011" w14:textId="77777777" w:rsidR="00950A40" w:rsidRPr="001554ED" w:rsidRDefault="00950A40" w:rsidP="007E40BC">
            <w:pPr>
              <w:rPr>
                <w:sz w:val="21"/>
                <w:szCs w:val="21"/>
                <w:lang w:val="en-US"/>
              </w:rPr>
            </w:pPr>
            <w:r w:rsidRPr="001554ED">
              <w:rPr>
                <w:sz w:val="21"/>
                <w:szCs w:val="21"/>
                <w:lang w:val="en-US"/>
              </w:rPr>
              <w:t>Audi A4</w:t>
            </w:r>
          </w:p>
        </w:tc>
        <w:tc>
          <w:tcPr>
            <w:tcW w:w="3115" w:type="dxa"/>
          </w:tcPr>
          <w:p w14:paraId="13B20082" w14:textId="77777777" w:rsidR="00950A40" w:rsidRPr="001554ED" w:rsidRDefault="00950A40" w:rsidP="007E40BC">
            <w:pPr>
              <w:rPr>
                <w:sz w:val="21"/>
                <w:szCs w:val="21"/>
                <w:lang w:val="en-US"/>
              </w:rPr>
            </w:pPr>
            <w:r w:rsidRPr="001554ED">
              <w:rPr>
                <w:sz w:val="21"/>
                <w:szCs w:val="21"/>
                <w:lang w:val="en-US"/>
              </w:rPr>
              <w:t>17.75 %</w:t>
            </w:r>
          </w:p>
        </w:tc>
      </w:tr>
    </w:tbl>
    <w:p w14:paraId="1EAD92B6" w14:textId="77777777" w:rsidR="00950A40" w:rsidRPr="001677AC" w:rsidRDefault="00950A40" w:rsidP="00950A40">
      <w:pPr>
        <w:rPr>
          <w:lang w:val="en-US"/>
        </w:rPr>
      </w:pPr>
    </w:p>
    <w:p w14:paraId="1A1B70C5" w14:textId="1EFE8AF3" w:rsidR="00A828BE" w:rsidRDefault="00950A40" w:rsidP="00AE5231">
      <w:r w:rsidRPr="00950A40">
        <w:rPr>
          <w:b/>
          <w:bCs/>
        </w:rPr>
        <w:t>Dlaczego cofa się liczniki?</w:t>
      </w:r>
      <w:r>
        <w:br/>
      </w:r>
      <w:r w:rsidR="00935370">
        <w:t xml:space="preserve">Istnieją dwa główne powody cofania liczników. Pierwszy to fakt, że po przekroczeniu pewnej granicy przebiegu samochód staje się „niesprzedawalny”, ponieważ </w:t>
      </w:r>
      <w:r w:rsidR="00AB054E">
        <w:t xml:space="preserve">drastycznie spada odzew na ogłoszenia. Drugi powód, to oczywiście chęć zwiększenia zysku na sprzedawanym aucie, ponieważ im niższy </w:t>
      </w:r>
      <w:r w:rsidR="00AB054E">
        <w:lastRenderedPageBreak/>
        <w:t xml:space="preserve">przebieg, tym wyższa wartość pojazdu na rynku wtórnym. Niezależnie od pobudek sprzedającego, w każdym przypadku mamy do czynienia z oszustwem. Przyłapani sprzedawcy często minimalizują swoją winę, tłumacząc się, że „wszyscy tak robią”. To tylko dodatkowy bodziec do walki z tą patologią. Lepiej oswoić się z myślą, że przebiegi rzędu 300-500 tys. km są rzeczą naturalną w autach 10-15-letnich, niż naiwnie cieszyć się z „okazyjnego” zakupu auta z licznikiem cofniętym np. do 250 tys. km. </w:t>
      </w:r>
    </w:p>
    <w:p w14:paraId="5643FFB3" w14:textId="1BA4A192" w:rsidR="00BA4050" w:rsidRDefault="00A828BE" w:rsidP="00BA4050">
      <w:r w:rsidRPr="004E6988">
        <w:rPr>
          <w:b/>
          <w:bCs/>
        </w:rPr>
        <w:t>Nie tylko u nas</w:t>
      </w:r>
      <w:r w:rsidR="00BA4050">
        <w:t xml:space="preserve"> </w:t>
      </w:r>
      <w:r>
        <w:br/>
        <w:t xml:space="preserve">Według raportów carVertical, proceder cofania liczników kwitnie na całym świecie, a Polska nie jest pod tym względem najgorszym krajem. Wręcz przeciwnie – liczniki są coraz częściej cofane jeszcze przed sprowadzeniem samochodu do Polski. Nasz rynek po wprowadzeniu bazy historiapojazdu.gov.pl zaczął się powoli cywilizować, choć jeszcze daleko mu do </w:t>
      </w:r>
      <w:r w:rsidR="00BA4050">
        <w:t xml:space="preserve">„liderów transparentności”. Według carVertical „najuczciwszym” rynkiem jest Belgia, gdzie w ogólnej liczbie raportów auta z przekręconymi licznikami mają jedynie 9-procentowy udział. Wynikiem niższym niż 10% mogą poszczycić się jeszcze takie kraje jak Finlandia (9,55%) i Francja (9,60%). Polska z wynikiem 11,98% generalnie nie wypada tak źle. Najgorzej sprawa ma się w Estonii (18,24%), Rumunii (19,60%) i na Łotwie (23,62%). </w:t>
      </w:r>
    </w:p>
    <w:p w14:paraId="20DF7680" w14:textId="77777777" w:rsidR="00D92554" w:rsidRDefault="00982201" w:rsidP="00AE5231">
      <w:r w:rsidRPr="002E4379">
        <w:rPr>
          <w:b/>
          <w:bCs/>
        </w:rPr>
        <w:t>Mijają lata, zmieniają się techniki</w:t>
      </w:r>
      <w:r>
        <w:br/>
        <w:t xml:space="preserve">W latach osiemdziesiątych, kiedy w samochodach dominowały liczniki mechaniczne wskazania cofało się podpinając linkę prędkościomierza do wiertarki albo – rozbierało licznik tak aby ustawić ręcznie odpowiedni przebieg. </w:t>
      </w:r>
      <w:r w:rsidR="00D92554">
        <w:t xml:space="preserve">Śladem ingerencji oszusta były rysy na śrubkach mocujących licznik albo nierówno ustawione bębenki z cyframi. </w:t>
      </w:r>
    </w:p>
    <w:p w14:paraId="19AD6CB4" w14:textId="77777777" w:rsidR="00D92554" w:rsidRDefault="00982201" w:rsidP="00AE5231">
      <w:r>
        <w:t xml:space="preserve">Obecnie zmiany dokonuje się komputerowo, ingerując w sterownik liczników. Zmiany te najczęściej wykrywa się zestawiając dane z licznika z historią serwisową. Ujawnienie dokumentacji wymiany oleju przy przebiegu 290 tys. km, gdy licznik wskazuje dopiero 210 tys. km zazwyczaj całkowicie kompromituje sprzedającego. Należy sobie zdawać sprawę, że to nie jedyny sposób na </w:t>
      </w:r>
      <w:r w:rsidR="00E20322">
        <w:t xml:space="preserve">zdemaskowanie oszustwa. Bardzo skuteczne jest także odczytanie danych o występujących usterkach, które komputer pokładowy przypisuje zwykle do konkretnego przebiegu. Wykasowanie całej historii błędów czyści te dane, ale samo w sobie jest już podejrzane. </w:t>
      </w:r>
      <w:r w:rsidR="00D92554">
        <w:t xml:space="preserve">Należy wiedzieć, że dane o przebiegu zapisują się zwykle w więcej niż tylko jednym sterowniku. Oznacza to, że będą w pamięci sterownika liczników, skrzyni biegów, sterownika modułu komfortu i wielu innych. Ujawnienie tego typu informacji nie jest żadnym „uczeniem oszustów”. Oni doskonale już o tym wiedzą i liczą na to, że takiej wiedzy nie będą mieli kupujący. Czemu? Ponieważ czyszczenie pamięci wszystkich sterowników jest zwykle znacznie droższe niż samego licznika, a ponadto – czasem okazuje się naprawdę trudne. Z tego względu wiele samochodów ma liczniki cofnięte w sposób niedoskonały, a tym samym łatwy do wykrycia, pod warunkiem, że kupujący wie czego szukać. </w:t>
      </w:r>
    </w:p>
    <w:p w14:paraId="50B0E12D" w14:textId="60652DD5" w:rsidR="00E543C6" w:rsidRDefault="00D92554" w:rsidP="00AE5231">
      <w:r w:rsidRPr="002E4379">
        <w:rPr>
          <w:b/>
          <w:bCs/>
        </w:rPr>
        <w:t>Wnikliwa weryfikacja</w:t>
      </w:r>
      <w:r>
        <w:br/>
      </w:r>
      <w:r w:rsidR="00D62DBD">
        <w:t xml:space="preserve">"Raporty </w:t>
      </w:r>
      <w:proofErr w:type="spellStart"/>
      <w:r w:rsidR="00D62DBD">
        <w:t>carVertical</w:t>
      </w:r>
      <w:proofErr w:type="spellEnd"/>
      <w:r w:rsidR="00D62DBD">
        <w:t xml:space="preserve"> opierają się na szerokim dostępie do różnych, niezależnych baz (serwisowych, ubezpieczeniowych itp.) oraz na zestawianiu pozyskanych z nich danych. Uzupełnienie raportu diagnostyką komputerową wykonaną we własnym zakresie za pomocą interfejsu diagnostycznego (lub na zlecenie w odpowiednim serwisie) zwiększa szanse na ujawnienie oszustwa. Daje to także kupującemu dwie ważne korzyści. Po pierwsze, chroni przed zakupem auta z cofniętym licznikiem, po drugie zabezpiecza przed przykrymi następstwami takiej transakcji. Nie chodzi tu już nawet o straty finansowe, ale o problemy podczas przeglądów rejestracyjnych, na których wszystko może wyjść na jaw lub podczas odsprzedaży samochodu – kolejny kupujący może być przecież bardziej wnikliwy!" - </w:t>
      </w:r>
      <w:r w:rsidR="00D62DBD">
        <w:rPr>
          <w:rStyle w:val="Pogrubienie"/>
        </w:rPr>
        <w:t xml:space="preserve">dodaje </w:t>
      </w:r>
      <w:proofErr w:type="spellStart"/>
      <w:r w:rsidR="00D62DBD">
        <w:rPr>
          <w:rStyle w:val="Pogrubienie"/>
        </w:rPr>
        <w:t>Matas</w:t>
      </w:r>
      <w:proofErr w:type="spellEnd"/>
      <w:r w:rsidR="00D62DBD">
        <w:rPr>
          <w:rStyle w:val="Pogrubienie"/>
        </w:rPr>
        <w:t xml:space="preserve"> </w:t>
      </w:r>
      <w:proofErr w:type="spellStart"/>
      <w:r w:rsidR="00D62DBD">
        <w:rPr>
          <w:rStyle w:val="Pogrubienie"/>
        </w:rPr>
        <w:t>Buzelis</w:t>
      </w:r>
      <w:proofErr w:type="spellEnd"/>
      <w:r w:rsidR="00D62DBD">
        <w:rPr>
          <w:rStyle w:val="Pogrubienie"/>
        </w:rPr>
        <w:t xml:space="preserve"> z </w:t>
      </w:r>
      <w:proofErr w:type="spellStart"/>
      <w:r w:rsidR="00D62DBD">
        <w:rPr>
          <w:rStyle w:val="Pogrubienie"/>
        </w:rPr>
        <w:t>carVertical</w:t>
      </w:r>
      <w:proofErr w:type="spellEnd"/>
      <w:r w:rsidR="00D62DBD">
        <w:rPr>
          <w:rStyle w:val="Pogrubienie"/>
        </w:rPr>
        <w:t>.</w:t>
      </w:r>
    </w:p>
    <w:sectPr w:rsidR="00E543C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99728" w14:textId="77777777" w:rsidR="00EA6A86" w:rsidRDefault="00EA6A86" w:rsidP="00D92554">
      <w:pPr>
        <w:spacing w:after="0" w:line="240" w:lineRule="auto"/>
      </w:pPr>
      <w:r>
        <w:separator/>
      </w:r>
    </w:p>
  </w:endnote>
  <w:endnote w:type="continuationSeparator" w:id="0">
    <w:p w14:paraId="348878AD" w14:textId="77777777" w:rsidR="00EA6A86" w:rsidRDefault="00EA6A86" w:rsidP="00D925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EE973" w14:textId="77777777" w:rsidR="00EA6A86" w:rsidRDefault="00EA6A86" w:rsidP="00D92554">
      <w:pPr>
        <w:spacing w:after="0" w:line="240" w:lineRule="auto"/>
      </w:pPr>
      <w:r>
        <w:separator/>
      </w:r>
    </w:p>
  </w:footnote>
  <w:footnote w:type="continuationSeparator" w:id="0">
    <w:p w14:paraId="1772F727" w14:textId="77777777" w:rsidR="00EA6A86" w:rsidRDefault="00EA6A86" w:rsidP="00D925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231"/>
    <w:rsid w:val="00056793"/>
    <w:rsid w:val="000D4BDC"/>
    <w:rsid w:val="001554ED"/>
    <w:rsid w:val="001677AC"/>
    <w:rsid w:val="001A29F8"/>
    <w:rsid w:val="001B2AE1"/>
    <w:rsid w:val="00273137"/>
    <w:rsid w:val="00285725"/>
    <w:rsid w:val="002E4379"/>
    <w:rsid w:val="004E6988"/>
    <w:rsid w:val="006F17FE"/>
    <w:rsid w:val="00935370"/>
    <w:rsid w:val="00950A40"/>
    <w:rsid w:val="00982201"/>
    <w:rsid w:val="009B197B"/>
    <w:rsid w:val="009F1EEF"/>
    <w:rsid w:val="00A458A8"/>
    <w:rsid w:val="00A828BE"/>
    <w:rsid w:val="00AB054E"/>
    <w:rsid w:val="00AE5231"/>
    <w:rsid w:val="00AE5EE4"/>
    <w:rsid w:val="00BA4050"/>
    <w:rsid w:val="00D23221"/>
    <w:rsid w:val="00D62DBD"/>
    <w:rsid w:val="00D92554"/>
    <w:rsid w:val="00E20322"/>
    <w:rsid w:val="00E2087F"/>
    <w:rsid w:val="00E543C6"/>
    <w:rsid w:val="00EA6A86"/>
    <w:rsid w:val="00EB65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63E15"/>
  <w15:chartTrackingRefBased/>
  <w15:docId w15:val="{B9EF85C3-64A9-45FB-9C2B-97F7F3D57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uiPriority w:val="99"/>
    <w:semiHidden/>
    <w:unhideWhenUsed/>
    <w:rsid w:val="00D9255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92554"/>
    <w:rPr>
      <w:sz w:val="20"/>
      <w:szCs w:val="20"/>
    </w:rPr>
  </w:style>
  <w:style w:type="character" w:styleId="Odwoanieprzypisukocowego">
    <w:name w:val="endnote reference"/>
    <w:basedOn w:val="Domylnaczcionkaakapitu"/>
    <w:uiPriority w:val="99"/>
    <w:semiHidden/>
    <w:unhideWhenUsed/>
    <w:rsid w:val="00D92554"/>
    <w:rPr>
      <w:vertAlign w:val="superscript"/>
    </w:rPr>
  </w:style>
  <w:style w:type="table" w:styleId="Tabela-Siatka">
    <w:name w:val="Table Grid"/>
    <w:basedOn w:val="Standardowy"/>
    <w:uiPriority w:val="39"/>
    <w:rsid w:val="001677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D62DB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885</Words>
  <Characters>5310</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Jacek Ambrozik</dc:creator>
  <cp:keywords/>
  <dc:description/>
  <cp:lastModifiedBy>Jacek Ambrozik</cp:lastModifiedBy>
  <cp:revision>5</cp:revision>
  <cp:lastPrinted>2022-08-11T08:11:00Z</cp:lastPrinted>
  <dcterms:created xsi:type="dcterms:W3CDTF">2022-08-11T08:04:00Z</dcterms:created>
  <dcterms:modified xsi:type="dcterms:W3CDTF">2022-08-11T08:11:00Z</dcterms:modified>
</cp:coreProperties>
</file>