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F6D74" w14:textId="7B5A1325" w:rsidR="00E21835" w:rsidRPr="000558A6" w:rsidRDefault="00E21835" w:rsidP="006474DE">
      <w:pPr>
        <w:spacing w:after="120" w:line="276" w:lineRule="auto"/>
        <w:ind w:left="5664"/>
        <w:jc w:val="right"/>
        <w:rPr>
          <w:sz w:val="20"/>
          <w:szCs w:val="20"/>
        </w:rPr>
      </w:pPr>
      <w:r>
        <w:rPr>
          <w:sz w:val="20"/>
          <w:szCs w:val="20"/>
        </w:rPr>
        <w:t xml:space="preserve">Warszawa, </w:t>
      </w:r>
      <w:r w:rsidR="00904025">
        <w:rPr>
          <w:sz w:val="20"/>
          <w:szCs w:val="20"/>
        </w:rPr>
        <w:t>15</w:t>
      </w:r>
      <w:r>
        <w:rPr>
          <w:sz w:val="20"/>
          <w:szCs w:val="20"/>
        </w:rPr>
        <w:t xml:space="preserve"> </w:t>
      </w:r>
      <w:r w:rsidR="00243091">
        <w:rPr>
          <w:sz w:val="20"/>
          <w:szCs w:val="20"/>
        </w:rPr>
        <w:t>maja</w:t>
      </w:r>
      <w:r>
        <w:rPr>
          <w:sz w:val="20"/>
          <w:szCs w:val="20"/>
        </w:rPr>
        <w:t xml:space="preserve"> 202</w:t>
      </w:r>
      <w:r w:rsidR="00243091">
        <w:rPr>
          <w:sz w:val="20"/>
          <w:szCs w:val="20"/>
        </w:rPr>
        <w:t>1</w:t>
      </w:r>
      <w:r w:rsidR="00C51E11">
        <w:rPr>
          <w:sz w:val="20"/>
          <w:szCs w:val="20"/>
        </w:rPr>
        <w:t xml:space="preserve"> </w:t>
      </w:r>
      <w:r w:rsidRPr="000558A6">
        <w:rPr>
          <w:sz w:val="20"/>
          <w:szCs w:val="20"/>
        </w:rPr>
        <w:t>r.</w:t>
      </w:r>
    </w:p>
    <w:p w14:paraId="0E1F8D80" w14:textId="17CADF7F" w:rsidR="00B11608" w:rsidRPr="000E34E6" w:rsidRDefault="0026641E" w:rsidP="00D61EF2">
      <w:pPr>
        <w:spacing w:before="480" w:after="120" w:line="276" w:lineRule="auto"/>
        <w:jc w:val="both"/>
        <w:rPr>
          <w:b/>
          <w:bCs/>
          <w:sz w:val="32"/>
          <w:szCs w:val="32"/>
        </w:rPr>
      </w:pPr>
      <w:r w:rsidRPr="000E34E6">
        <w:rPr>
          <w:b/>
          <w:bCs/>
          <w:sz w:val="32"/>
          <w:szCs w:val="32"/>
        </w:rPr>
        <w:t>Restauratorzy wracają do pracy</w:t>
      </w:r>
      <w:r w:rsidR="00AA1BE4" w:rsidRPr="000E34E6">
        <w:rPr>
          <w:b/>
          <w:bCs/>
          <w:sz w:val="32"/>
          <w:szCs w:val="32"/>
        </w:rPr>
        <w:t>,</w:t>
      </w:r>
      <w:r w:rsidRPr="000E34E6">
        <w:rPr>
          <w:b/>
          <w:bCs/>
          <w:sz w:val="32"/>
          <w:szCs w:val="32"/>
        </w:rPr>
        <w:t xml:space="preserve"> </w:t>
      </w:r>
      <w:r w:rsidR="00AA1BE4" w:rsidRPr="000E34E6">
        <w:rPr>
          <w:b/>
          <w:bCs/>
          <w:sz w:val="32"/>
          <w:szCs w:val="32"/>
        </w:rPr>
        <w:t xml:space="preserve">w ostatniej chwili </w:t>
      </w:r>
    </w:p>
    <w:p w14:paraId="16C8FF27" w14:textId="102C1D0C" w:rsidR="00CB0AC1" w:rsidRDefault="00CB0AC1" w:rsidP="00CB0AC1">
      <w:pPr>
        <w:spacing w:after="240" w:line="276" w:lineRule="auto"/>
        <w:jc w:val="both"/>
        <w:rPr>
          <w:b/>
          <w:bCs/>
          <w:szCs w:val="23"/>
        </w:rPr>
      </w:pPr>
      <w:r>
        <w:rPr>
          <w:b/>
          <w:bCs/>
          <w:szCs w:val="23"/>
        </w:rPr>
        <w:t xml:space="preserve">Najwyższy czas na otwarcie gastronomii, bo jej zaległości wobec dostawców i banków sięgają już prawie 728 mln zł. Tylko w marcu nieopłacone na czas rachunki i raty kredytów podwyższyły się o 13 mln zł, dwa razy bardziej niż w poprzednich miesiącach. Uruchomienie restauracyjnych ogródków 15 maja to zaledwie początek powracania do normalności. Jeśli nie wydarzy się nic nieprzewidzianego, lokale będą od 28 maja mogły wrócić do tak wyczekiwanego regularnego funkcjonowania, choć na razie nadal tylko z co drugim stolikiem. </w:t>
      </w:r>
    </w:p>
    <w:p w14:paraId="78D5F7B1" w14:textId="2E4A7E1A" w:rsidR="00CB0AC1" w:rsidRDefault="00C95D29" w:rsidP="00CB0AC1">
      <w:pPr>
        <w:spacing w:after="120" w:line="276" w:lineRule="auto"/>
        <w:jc w:val="both"/>
        <w:rPr>
          <w:szCs w:val="23"/>
        </w:rPr>
      </w:pPr>
      <w:r>
        <w:rPr>
          <w:szCs w:val="23"/>
        </w:rPr>
        <w:t xml:space="preserve">W </w:t>
      </w:r>
      <w:r w:rsidR="003C5D42" w:rsidRPr="00AA1BE4">
        <w:rPr>
          <w:szCs w:val="23"/>
        </w:rPr>
        <w:t>ciągu roku pandemii</w:t>
      </w:r>
      <w:r w:rsidR="005C0C8E" w:rsidRPr="00AA1BE4">
        <w:rPr>
          <w:szCs w:val="23"/>
        </w:rPr>
        <w:t>, między marcem 2020 i 2021 r.,</w:t>
      </w:r>
      <w:r w:rsidR="003C5D42" w:rsidRPr="00AA1BE4">
        <w:rPr>
          <w:szCs w:val="23"/>
        </w:rPr>
        <w:t xml:space="preserve"> </w:t>
      </w:r>
      <w:r w:rsidR="00B529FB" w:rsidRPr="00AA1BE4">
        <w:rPr>
          <w:szCs w:val="23"/>
        </w:rPr>
        <w:t>zaległości branży gastronomicznej wzrosły</w:t>
      </w:r>
      <w:r>
        <w:rPr>
          <w:szCs w:val="23"/>
        </w:rPr>
        <w:t xml:space="preserve"> </w:t>
      </w:r>
      <w:r w:rsidR="00B529FB" w:rsidRPr="00AA1BE4">
        <w:rPr>
          <w:szCs w:val="23"/>
        </w:rPr>
        <w:t>o</w:t>
      </w:r>
      <w:r w:rsidR="00E922B5" w:rsidRPr="00AA1BE4">
        <w:rPr>
          <w:szCs w:val="23"/>
        </w:rPr>
        <w:t> </w:t>
      </w:r>
      <w:r w:rsidR="00B529FB" w:rsidRPr="00AA1BE4">
        <w:rPr>
          <w:szCs w:val="23"/>
        </w:rPr>
        <w:t>ponad 80 mln zł, czyli o 12,4 proc.</w:t>
      </w:r>
      <w:r>
        <w:rPr>
          <w:szCs w:val="23"/>
        </w:rPr>
        <w:t xml:space="preserve"> do 727,8 mln zł </w:t>
      </w:r>
      <w:r w:rsidR="00D61EF2">
        <w:rPr>
          <w:szCs w:val="23"/>
        </w:rPr>
        <w:t>–</w:t>
      </w:r>
      <w:r>
        <w:rPr>
          <w:szCs w:val="23"/>
        </w:rPr>
        <w:t xml:space="preserve"> </w:t>
      </w:r>
      <w:r w:rsidRPr="00AA1BE4">
        <w:rPr>
          <w:szCs w:val="23"/>
        </w:rPr>
        <w:t>wynika z danych Rejestru Dłużników BIG InfoMonitor i BIK</w:t>
      </w:r>
      <w:r>
        <w:rPr>
          <w:szCs w:val="23"/>
        </w:rPr>
        <w:t xml:space="preserve">. </w:t>
      </w:r>
      <w:r w:rsidR="00B529FB" w:rsidRPr="00AA1BE4">
        <w:rPr>
          <w:szCs w:val="23"/>
        </w:rPr>
        <w:t xml:space="preserve">Najgorzej </w:t>
      </w:r>
      <w:r w:rsidR="00CB0AC1">
        <w:rPr>
          <w:szCs w:val="23"/>
        </w:rPr>
        <w:t>zadziało się w firmach prowadzących</w:t>
      </w:r>
      <w:r w:rsidR="00B529FB" w:rsidRPr="00AA1BE4">
        <w:rPr>
          <w:szCs w:val="23"/>
        </w:rPr>
        <w:t xml:space="preserve"> ruchom</w:t>
      </w:r>
      <w:r w:rsidR="00CB0AC1">
        <w:rPr>
          <w:szCs w:val="23"/>
        </w:rPr>
        <w:t>e</w:t>
      </w:r>
      <w:r w:rsidR="00B529FB" w:rsidRPr="00AA1BE4">
        <w:rPr>
          <w:szCs w:val="23"/>
        </w:rPr>
        <w:t xml:space="preserve"> placówk</w:t>
      </w:r>
      <w:r w:rsidR="00CB0AC1">
        <w:rPr>
          <w:szCs w:val="23"/>
        </w:rPr>
        <w:t>i</w:t>
      </w:r>
      <w:r w:rsidR="00B529FB" w:rsidRPr="00AA1BE4">
        <w:rPr>
          <w:szCs w:val="23"/>
        </w:rPr>
        <w:t xml:space="preserve"> gastronomiczn</w:t>
      </w:r>
      <w:r w:rsidR="00CB0AC1">
        <w:rPr>
          <w:szCs w:val="23"/>
        </w:rPr>
        <w:t>e</w:t>
      </w:r>
      <w:r w:rsidR="00DB4C1A" w:rsidRPr="00AA1BE4">
        <w:rPr>
          <w:szCs w:val="23"/>
        </w:rPr>
        <w:t xml:space="preserve">. Goszczące na różnego rodzaju plenerowych imprezach czy pod biurowcami </w:t>
      </w:r>
      <w:proofErr w:type="spellStart"/>
      <w:r w:rsidR="00DB4C1A" w:rsidRPr="00AA1BE4">
        <w:rPr>
          <w:szCs w:val="23"/>
        </w:rPr>
        <w:t>foodtrucki</w:t>
      </w:r>
      <w:proofErr w:type="spellEnd"/>
      <w:r w:rsidR="00DB4C1A" w:rsidRPr="00AA1BE4">
        <w:rPr>
          <w:szCs w:val="23"/>
        </w:rPr>
        <w:t xml:space="preserve"> nie miały w</w:t>
      </w:r>
      <w:r w:rsidR="00D61EF2">
        <w:rPr>
          <w:szCs w:val="23"/>
        </w:rPr>
        <w:t> </w:t>
      </w:r>
      <w:r w:rsidR="00DB4C1A" w:rsidRPr="00AA1BE4">
        <w:rPr>
          <w:szCs w:val="23"/>
        </w:rPr>
        <w:t>minionym roku zbyt wiele okazji, by spotkać się z klientami</w:t>
      </w:r>
      <w:r w:rsidR="00CB0AC1">
        <w:rPr>
          <w:szCs w:val="23"/>
        </w:rPr>
        <w:t>. W</w:t>
      </w:r>
      <w:r w:rsidR="00DB4C1A" w:rsidRPr="00AA1BE4">
        <w:rPr>
          <w:szCs w:val="23"/>
        </w:rPr>
        <w:t xml:space="preserve"> rezultacie wartość ich przeterminowanych płatności w</w:t>
      </w:r>
      <w:r>
        <w:rPr>
          <w:szCs w:val="23"/>
        </w:rPr>
        <w:t xml:space="preserve">obec kontrahentów </w:t>
      </w:r>
      <w:r w:rsidR="00DB4C1A" w:rsidRPr="00AA1BE4">
        <w:rPr>
          <w:szCs w:val="23"/>
        </w:rPr>
        <w:t xml:space="preserve">i banków podwyższyła się </w:t>
      </w:r>
      <w:r w:rsidR="004A3AB7">
        <w:rPr>
          <w:szCs w:val="23"/>
        </w:rPr>
        <w:t xml:space="preserve">najbardziej, bo </w:t>
      </w:r>
      <w:r w:rsidR="00DB4C1A" w:rsidRPr="00AA1BE4">
        <w:rPr>
          <w:szCs w:val="23"/>
        </w:rPr>
        <w:t>o</w:t>
      </w:r>
      <w:r w:rsidR="00D61EF2">
        <w:rPr>
          <w:szCs w:val="23"/>
        </w:rPr>
        <w:t> </w:t>
      </w:r>
      <w:r w:rsidR="00DB4C1A" w:rsidRPr="00AA1BE4">
        <w:rPr>
          <w:szCs w:val="23"/>
        </w:rPr>
        <w:t xml:space="preserve">ponad </w:t>
      </w:r>
      <w:r w:rsidR="00B529FB" w:rsidRPr="00AA1BE4">
        <w:rPr>
          <w:szCs w:val="23"/>
        </w:rPr>
        <w:t>26 proc.</w:t>
      </w:r>
      <w:r w:rsidR="00DB4C1A" w:rsidRPr="00AA1BE4">
        <w:rPr>
          <w:szCs w:val="23"/>
        </w:rPr>
        <w:t xml:space="preserve"> </w:t>
      </w:r>
      <w:r w:rsidR="00CB0AC1">
        <w:rPr>
          <w:szCs w:val="23"/>
        </w:rPr>
        <w:t xml:space="preserve">i przekroczyła 17 mln zł. </w:t>
      </w:r>
    </w:p>
    <w:p w14:paraId="12B528D1" w14:textId="621A8544" w:rsidR="00140A1E" w:rsidRDefault="00C95D29" w:rsidP="00C95D29">
      <w:pPr>
        <w:spacing w:after="120" w:line="276" w:lineRule="auto"/>
        <w:jc w:val="both"/>
        <w:rPr>
          <w:b/>
          <w:bCs/>
          <w:szCs w:val="23"/>
        </w:rPr>
      </w:pPr>
      <w:r>
        <w:t xml:space="preserve">– </w:t>
      </w:r>
      <w:r>
        <w:rPr>
          <w:i/>
          <w:iCs/>
        </w:rPr>
        <w:t>L</w:t>
      </w:r>
      <w:r w:rsidR="00CB0AC1">
        <w:rPr>
          <w:i/>
          <w:iCs/>
        </w:rPr>
        <w:t xml:space="preserve">iczne </w:t>
      </w:r>
      <w:proofErr w:type="spellStart"/>
      <w:r w:rsidR="00CB0AC1">
        <w:rPr>
          <w:i/>
          <w:iCs/>
        </w:rPr>
        <w:t>lo</w:t>
      </w:r>
      <w:r>
        <w:rPr>
          <w:i/>
          <w:iCs/>
        </w:rPr>
        <w:t>ckdown</w:t>
      </w:r>
      <w:r w:rsidR="00CB0AC1">
        <w:rPr>
          <w:i/>
          <w:iCs/>
        </w:rPr>
        <w:t>y</w:t>
      </w:r>
      <w:proofErr w:type="spellEnd"/>
      <w:r>
        <w:rPr>
          <w:i/>
          <w:iCs/>
        </w:rPr>
        <w:t xml:space="preserve"> to straty restauratorów liczone w miliardach złotych i możliwe, że nawet ćwierć miliona ludzi bez pracy. </w:t>
      </w:r>
      <w:r>
        <w:rPr>
          <w:i/>
          <w:iCs/>
          <w:szCs w:val="23"/>
        </w:rPr>
        <w:t>Mocno po</w:t>
      </w:r>
      <w:r w:rsidR="00CE296D" w:rsidRPr="00CE296D">
        <w:rPr>
          <w:i/>
          <w:iCs/>
          <w:szCs w:val="23"/>
        </w:rPr>
        <w:t>głębiając</w:t>
      </w:r>
      <w:r>
        <w:rPr>
          <w:i/>
          <w:iCs/>
          <w:szCs w:val="23"/>
        </w:rPr>
        <w:t>e</w:t>
      </w:r>
      <w:r w:rsidR="00CE296D" w:rsidRPr="00CE296D">
        <w:rPr>
          <w:i/>
          <w:iCs/>
          <w:szCs w:val="23"/>
        </w:rPr>
        <w:t xml:space="preserve"> się problem</w:t>
      </w:r>
      <w:r>
        <w:rPr>
          <w:i/>
          <w:iCs/>
          <w:szCs w:val="23"/>
        </w:rPr>
        <w:t>y</w:t>
      </w:r>
      <w:r w:rsidR="00CE296D" w:rsidRPr="00CE296D">
        <w:rPr>
          <w:i/>
          <w:iCs/>
          <w:szCs w:val="23"/>
        </w:rPr>
        <w:t xml:space="preserve"> finansow</w:t>
      </w:r>
      <w:r>
        <w:rPr>
          <w:i/>
          <w:iCs/>
          <w:szCs w:val="23"/>
        </w:rPr>
        <w:t>e</w:t>
      </w:r>
      <w:r w:rsidR="00CE296D" w:rsidRPr="00CE296D">
        <w:rPr>
          <w:i/>
          <w:iCs/>
          <w:szCs w:val="23"/>
        </w:rPr>
        <w:t xml:space="preserve"> branży gastronomicznej </w:t>
      </w:r>
      <w:r>
        <w:rPr>
          <w:i/>
          <w:iCs/>
          <w:szCs w:val="23"/>
        </w:rPr>
        <w:t xml:space="preserve">pokazują, że </w:t>
      </w:r>
      <w:r w:rsidR="00CE296D" w:rsidRPr="00CE296D">
        <w:rPr>
          <w:i/>
          <w:iCs/>
          <w:szCs w:val="23"/>
        </w:rPr>
        <w:t xml:space="preserve">to naprawdę ostatni dzwonek na restart. Zaległości zaczęły przyrastać na coraz </w:t>
      </w:r>
      <w:r w:rsidR="00D61EF2">
        <w:rPr>
          <w:i/>
          <w:iCs/>
          <w:szCs w:val="23"/>
        </w:rPr>
        <w:t>większą</w:t>
      </w:r>
      <w:r w:rsidR="00CE296D" w:rsidRPr="00CE296D">
        <w:rPr>
          <w:i/>
          <w:iCs/>
          <w:szCs w:val="23"/>
        </w:rPr>
        <w:t xml:space="preserve"> skalę, </w:t>
      </w:r>
      <w:r>
        <w:rPr>
          <w:i/>
          <w:iCs/>
          <w:szCs w:val="23"/>
        </w:rPr>
        <w:t xml:space="preserve">tylko </w:t>
      </w:r>
      <w:r w:rsidR="00CE296D" w:rsidRPr="00CE296D">
        <w:rPr>
          <w:i/>
          <w:iCs/>
          <w:szCs w:val="23"/>
        </w:rPr>
        <w:t xml:space="preserve">w marcu </w:t>
      </w:r>
      <w:r>
        <w:rPr>
          <w:i/>
          <w:iCs/>
          <w:szCs w:val="23"/>
        </w:rPr>
        <w:t>podwyższyły się o</w:t>
      </w:r>
      <w:r w:rsidR="00CE296D">
        <w:rPr>
          <w:i/>
          <w:iCs/>
          <w:szCs w:val="23"/>
        </w:rPr>
        <w:t xml:space="preserve"> </w:t>
      </w:r>
      <w:r>
        <w:rPr>
          <w:i/>
          <w:iCs/>
          <w:szCs w:val="23"/>
        </w:rPr>
        <w:t>13 mln zł, to</w:t>
      </w:r>
      <w:r w:rsidR="00CE296D">
        <w:rPr>
          <w:i/>
          <w:iCs/>
          <w:szCs w:val="23"/>
        </w:rPr>
        <w:t xml:space="preserve"> </w:t>
      </w:r>
      <w:r w:rsidR="00CE296D" w:rsidRPr="00CE296D">
        <w:rPr>
          <w:i/>
          <w:iCs/>
          <w:szCs w:val="23"/>
        </w:rPr>
        <w:t xml:space="preserve">dwa razy </w:t>
      </w:r>
      <w:r w:rsidR="00D61EF2">
        <w:rPr>
          <w:i/>
          <w:iCs/>
          <w:szCs w:val="23"/>
        </w:rPr>
        <w:t>bardziej</w:t>
      </w:r>
      <w:r>
        <w:rPr>
          <w:i/>
          <w:iCs/>
          <w:szCs w:val="23"/>
        </w:rPr>
        <w:t xml:space="preserve"> </w:t>
      </w:r>
      <w:r w:rsidR="00CE296D" w:rsidRPr="00CE296D">
        <w:rPr>
          <w:i/>
          <w:iCs/>
          <w:szCs w:val="23"/>
        </w:rPr>
        <w:t>niż w poprzednich miesiącach</w:t>
      </w:r>
      <w:r w:rsidR="004A3AB7">
        <w:rPr>
          <w:i/>
          <w:iCs/>
          <w:szCs w:val="23"/>
        </w:rPr>
        <w:t xml:space="preserve">, które też upłynęły w </w:t>
      </w:r>
      <w:r w:rsidR="00CB0AC1">
        <w:rPr>
          <w:i/>
          <w:iCs/>
          <w:szCs w:val="23"/>
        </w:rPr>
        <w:t xml:space="preserve">cieniu </w:t>
      </w:r>
      <w:r w:rsidR="004A3AB7">
        <w:rPr>
          <w:i/>
          <w:iCs/>
          <w:szCs w:val="23"/>
        </w:rPr>
        <w:t>pandemii</w:t>
      </w:r>
      <w:r w:rsidR="00CE296D" w:rsidRPr="00CE296D">
        <w:rPr>
          <w:i/>
          <w:iCs/>
          <w:szCs w:val="23"/>
        </w:rPr>
        <w:t xml:space="preserve"> </w:t>
      </w:r>
      <w:r w:rsidR="00CE296D" w:rsidRPr="00CE296D">
        <w:rPr>
          <w:szCs w:val="23"/>
        </w:rPr>
        <w:t>– zwraca uwagę</w:t>
      </w:r>
      <w:r w:rsidR="00CE296D">
        <w:rPr>
          <w:b/>
          <w:bCs/>
          <w:szCs w:val="23"/>
        </w:rPr>
        <w:t xml:space="preserve"> Sławomir Grzelczak</w:t>
      </w:r>
      <w:r w:rsidR="00CE296D" w:rsidRPr="00CE296D">
        <w:rPr>
          <w:szCs w:val="23"/>
        </w:rPr>
        <w:t xml:space="preserve">, prezes BIG InfoMonitor. </w:t>
      </w:r>
    </w:p>
    <w:p w14:paraId="28C4F0D1" w14:textId="691009D0" w:rsidR="003B68F4" w:rsidRDefault="00FE159F" w:rsidP="009B0CBD">
      <w:pPr>
        <w:spacing w:after="120" w:line="276" w:lineRule="auto"/>
        <w:jc w:val="both"/>
      </w:pPr>
      <w:r>
        <w:t>Zgodnie z przyjętym przez rząd rozporządzeniem p</w:t>
      </w:r>
      <w:r w:rsidRPr="00FE159F">
        <w:t>rzy utrzymującym się niskim poziomie zakażeń możliwe będzie stopniowe luzowanie obostrzeń</w:t>
      </w:r>
      <w:r>
        <w:t xml:space="preserve"> według zaplanowanego harmonogramu. W</w:t>
      </w:r>
      <w:r w:rsidR="00E922B5">
        <w:t> </w:t>
      </w:r>
      <w:r>
        <w:t xml:space="preserve">przypadku branży gastronomicznej oznacza to, że </w:t>
      </w:r>
      <w:r w:rsidR="00243091">
        <w:t>od 15 do 2</w:t>
      </w:r>
      <w:r w:rsidR="00D61EF2">
        <w:t>7</w:t>
      </w:r>
      <w:r w:rsidR="00243091">
        <w:t xml:space="preserve"> maja restauracje będą mogły serwować posiłki </w:t>
      </w:r>
      <w:r>
        <w:t xml:space="preserve">tylko </w:t>
      </w:r>
      <w:r w:rsidR="00243091">
        <w:t xml:space="preserve">ogródkach. </w:t>
      </w:r>
      <w:r>
        <w:t>C</w:t>
      </w:r>
      <w:r w:rsidR="00243091">
        <w:t xml:space="preserve">o drugi stolik będzie musiał pozostać wolny, a odległość między </w:t>
      </w:r>
      <w:r>
        <w:t>nimi</w:t>
      </w:r>
      <w:r w:rsidR="00243091">
        <w:t xml:space="preserve"> ma wynosić co najmniej 1,5 m, chyba że </w:t>
      </w:r>
      <w:r w:rsidR="00890641">
        <w:t>zostaną rozdzielone</w:t>
      </w:r>
      <w:r w:rsidR="00243091">
        <w:t xml:space="preserve"> przegrod</w:t>
      </w:r>
      <w:r w:rsidR="00890641">
        <w:t>ą</w:t>
      </w:r>
      <w:r w:rsidR="00243091">
        <w:t xml:space="preserve"> o</w:t>
      </w:r>
      <w:r w:rsidR="00890641">
        <w:t xml:space="preserve"> </w:t>
      </w:r>
      <w:r w:rsidR="00243091">
        <w:t>wysokości co najmniej 1 m, licząc od powierzchni stolika.</w:t>
      </w:r>
      <w:r w:rsidR="00384BFF">
        <w:t xml:space="preserve"> Dopiero od </w:t>
      </w:r>
      <w:r w:rsidR="00243091">
        <w:t>2</w:t>
      </w:r>
      <w:r w:rsidR="00D61EF2">
        <w:t>8</w:t>
      </w:r>
      <w:r w:rsidR="00243091">
        <w:t xml:space="preserve"> maja do</w:t>
      </w:r>
      <w:r w:rsidR="00384BFF">
        <w:t xml:space="preserve">jedzie do tego możliwość </w:t>
      </w:r>
      <w:r w:rsidR="00243091">
        <w:t>konsumpcj</w:t>
      </w:r>
      <w:r w:rsidR="00384BFF">
        <w:t>i</w:t>
      </w:r>
      <w:r w:rsidR="00243091">
        <w:t xml:space="preserve"> w </w:t>
      </w:r>
      <w:r w:rsidR="00384BFF">
        <w:t xml:space="preserve">samych </w:t>
      </w:r>
      <w:r w:rsidR="00243091">
        <w:t xml:space="preserve">lokalach </w:t>
      </w:r>
      <w:r w:rsidR="00AC3E31">
        <w:t xml:space="preserve">– </w:t>
      </w:r>
      <w:r w:rsidR="00243091">
        <w:t xml:space="preserve">pod warunkiem, że klienci do czasu zajęcia </w:t>
      </w:r>
      <w:r w:rsidR="00384BFF">
        <w:t xml:space="preserve">swoich </w:t>
      </w:r>
      <w:r w:rsidR="00243091">
        <w:t xml:space="preserve">miejsc będą mieli zakryte usta i nos. </w:t>
      </w:r>
      <w:r w:rsidR="009B0CBD">
        <w:t xml:space="preserve">Obsługa kelnerska przez cały czas </w:t>
      </w:r>
      <w:r w:rsidR="006356C8">
        <w:t>ma</w:t>
      </w:r>
      <w:r w:rsidR="009B0CBD">
        <w:t xml:space="preserve"> pracować w maseczkach.</w:t>
      </w:r>
    </w:p>
    <w:p w14:paraId="4FCE591A" w14:textId="5F348E57" w:rsidR="00BB0595" w:rsidRDefault="00CC2955" w:rsidP="00BB0595">
      <w:pPr>
        <w:spacing w:after="120" w:line="276" w:lineRule="auto"/>
        <w:jc w:val="both"/>
      </w:pPr>
      <w:r>
        <w:t xml:space="preserve">– </w:t>
      </w:r>
      <w:r w:rsidR="00816B91">
        <w:rPr>
          <w:i/>
          <w:iCs/>
        </w:rPr>
        <w:t>N</w:t>
      </w:r>
      <w:r w:rsidR="00770367">
        <w:rPr>
          <w:i/>
          <w:iCs/>
        </w:rPr>
        <w:t>owe regulacje, tym razem pozwalające na działanie ogródków restauracyjnych, spowodowały, że branża</w:t>
      </w:r>
      <w:r w:rsidR="00E578AC">
        <w:rPr>
          <w:i/>
          <w:iCs/>
        </w:rPr>
        <w:t xml:space="preserve"> </w:t>
      </w:r>
      <w:r w:rsidR="00770367">
        <w:rPr>
          <w:i/>
          <w:iCs/>
        </w:rPr>
        <w:t>liczy na odrobienie strat</w:t>
      </w:r>
      <w:r w:rsidR="00A15D2C">
        <w:rPr>
          <w:i/>
          <w:iCs/>
        </w:rPr>
        <w:t xml:space="preserve"> i walczy o swoje</w:t>
      </w:r>
      <w:r w:rsidR="00770367">
        <w:rPr>
          <w:i/>
          <w:iCs/>
        </w:rPr>
        <w:t xml:space="preserve">. Na razie lokale muszą co prawda dostosować się do wymogów prawnych i zainwestować w </w:t>
      </w:r>
      <w:r w:rsidR="00A15D2C">
        <w:rPr>
          <w:i/>
          <w:iCs/>
        </w:rPr>
        <w:t xml:space="preserve">odpowiednie </w:t>
      </w:r>
      <w:r w:rsidR="00770367">
        <w:rPr>
          <w:i/>
          <w:iCs/>
        </w:rPr>
        <w:t>wyposażenie</w:t>
      </w:r>
      <w:r w:rsidR="004A3AB7">
        <w:rPr>
          <w:i/>
          <w:iCs/>
        </w:rPr>
        <w:t>. N</w:t>
      </w:r>
      <w:r w:rsidR="00A15D2C">
        <w:rPr>
          <w:i/>
          <w:iCs/>
        </w:rPr>
        <w:t>iektórzy</w:t>
      </w:r>
      <w:r w:rsidR="00C7098F">
        <w:rPr>
          <w:i/>
          <w:iCs/>
        </w:rPr>
        <w:t>, np. galerie handlowe,</w:t>
      </w:r>
      <w:r w:rsidR="00A15D2C">
        <w:rPr>
          <w:i/>
          <w:iCs/>
        </w:rPr>
        <w:t xml:space="preserve"> myślą też o przeznaczeniu na ten cel dodatkowych powierzchni</w:t>
      </w:r>
      <w:r w:rsidR="00C7098F">
        <w:rPr>
          <w:i/>
          <w:iCs/>
        </w:rPr>
        <w:t>, takich jak parkingi czy tarasy na ostatnich piętrach budynków</w:t>
      </w:r>
      <w:r w:rsidR="00A15D2C">
        <w:rPr>
          <w:i/>
          <w:iCs/>
        </w:rPr>
        <w:t xml:space="preserve">. </w:t>
      </w:r>
      <w:r w:rsidR="004A3AB7">
        <w:rPr>
          <w:i/>
          <w:iCs/>
        </w:rPr>
        <w:t xml:space="preserve">Przedsiębiorcy </w:t>
      </w:r>
      <w:r w:rsidR="0099692D">
        <w:rPr>
          <w:i/>
          <w:iCs/>
        </w:rPr>
        <w:t>s</w:t>
      </w:r>
      <w:r w:rsidR="004A3AB7">
        <w:rPr>
          <w:i/>
          <w:iCs/>
        </w:rPr>
        <w:t xml:space="preserve">zukają wszelkich rozwiązań, bo za chwilę wielu z nich może już przestać istnieć. </w:t>
      </w:r>
      <w:r w:rsidR="00846678">
        <w:rPr>
          <w:i/>
          <w:iCs/>
        </w:rPr>
        <w:t>W</w:t>
      </w:r>
      <w:r w:rsidR="00846678">
        <w:rPr>
          <w:i/>
          <w:iCs/>
        </w:rPr>
        <w:t xml:space="preserve"> realizowanym dla nas badaniu</w:t>
      </w:r>
      <w:r w:rsidR="00846678">
        <w:rPr>
          <w:i/>
          <w:iCs/>
        </w:rPr>
        <w:t xml:space="preserve"> t</w:t>
      </w:r>
      <w:r w:rsidR="00DB7CC0">
        <w:rPr>
          <w:i/>
          <w:iCs/>
        </w:rPr>
        <w:t xml:space="preserve">o właśnie </w:t>
      </w:r>
      <w:r w:rsidR="004A3AB7">
        <w:rPr>
          <w:i/>
          <w:iCs/>
        </w:rPr>
        <w:t xml:space="preserve">firmy </w:t>
      </w:r>
      <w:r w:rsidR="00DB7CC0">
        <w:rPr>
          <w:i/>
          <w:iCs/>
        </w:rPr>
        <w:t>usług</w:t>
      </w:r>
      <w:r w:rsidR="004A3AB7">
        <w:rPr>
          <w:i/>
          <w:iCs/>
        </w:rPr>
        <w:t>owe na początku drugiego kwartału</w:t>
      </w:r>
      <w:r w:rsidR="00DB7CC0">
        <w:rPr>
          <w:i/>
          <w:iCs/>
        </w:rPr>
        <w:t xml:space="preserve"> </w:t>
      </w:r>
      <w:r w:rsidR="004A3AB7">
        <w:rPr>
          <w:i/>
          <w:iCs/>
        </w:rPr>
        <w:t>najczęściej</w:t>
      </w:r>
      <w:r w:rsidR="002D16A4">
        <w:rPr>
          <w:i/>
          <w:iCs/>
        </w:rPr>
        <w:t xml:space="preserve"> mówiły</w:t>
      </w:r>
      <w:r w:rsidR="004A3AB7">
        <w:rPr>
          <w:i/>
          <w:iCs/>
        </w:rPr>
        <w:t xml:space="preserve"> </w:t>
      </w:r>
      <w:r w:rsidR="00846678">
        <w:rPr>
          <w:i/>
          <w:iCs/>
        </w:rPr>
        <w:t xml:space="preserve">o ryzyku upadłości. Kolejne miesiące zamknięcia mogły tylko jeszcze bardziej pogorszyć </w:t>
      </w:r>
      <w:r w:rsidR="0029249D">
        <w:rPr>
          <w:i/>
          <w:iCs/>
        </w:rPr>
        <w:t>sytuację</w:t>
      </w:r>
      <w:r w:rsidR="00846678">
        <w:rPr>
          <w:i/>
          <w:iCs/>
        </w:rPr>
        <w:t xml:space="preserve"> </w:t>
      </w:r>
      <w:r>
        <w:t xml:space="preserve">– zauważa </w:t>
      </w:r>
      <w:r w:rsidRPr="00CC2955">
        <w:rPr>
          <w:b/>
          <w:bCs/>
        </w:rPr>
        <w:t>Sławomir Grzelczak</w:t>
      </w:r>
      <w:r w:rsidR="005411AE" w:rsidRPr="005411AE">
        <w:t>.</w:t>
      </w:r>
    </w:p>
    <w:p w14:paraId="4B3830AF" w14:textId="77777777" w:rsidR="00BB0595" w:rsidRDefault="00901E80" w:rsidP="00BB0595">
      <w:pPr>
        <w:spacing w:after="120" w:line="276" w:lineRule="auto"/>
        <w:jc w:val="center"/>
        <w:rPr>
          <w:b/>
          <w:iCs/>
          <w:smallCaps/>
          <w:color w:val="595959" w:themeColor="text1" w:themeTint="A6"/>
          <w:sz w:val="22"/>
        </w:rPr>
      </w:pPr>
      <w:r w:rsidRPr="00DC03A9">
        <w:rPr>
          <w:b/>
          <w:iCs/>
          <w:smallCaps/>
          <w:color w:val="595959" w:themeColor="text1" w:themeTint="A6"/>
          <w:sz w:val="22"/>
        </w:rPr>
        <w:lastRenderedPageBreak/>
        <w:t>Czy w ostatnich 12 miesiącach istniało realne ryzyko zamknięcia biznesu?</w:t>
      </w:r>
    </w:p>
    <w:p w14:paraId="72D513E7" w14:textId="52741AE2" w:rsidR="00901E80" w:rsidRPr="00901E80" w:rsidRDefault="00E71759" w:rsidP="00BB0595">
      <w:pPr>
        <w:spacing w:after="120" w:line="276" w:lineRule="auto"/>
        <w:jc w:val="both"/>
        <w:rPr>
          <w:rFonts w:ascii="Calibri" w:hAnsi="Calibri"/>
          <w:iCs/>
        </w:rPr>
      </w:pPr>
      <w:r>
        <w:rPr>
          <w:noProof/>
        </w:rPr>
        <w:drawing>
          <wp:inline distT="0" distB="0" distL="0" distR="0" wp14:anchorId="43658626" wp14:editId="76A44454">
            <wp:extent cx="1519555" cy="1940271"/>
            <wp:effectExtent l="0" t="0" r="4445" b="3175"/>
            <wp:docPr id="1" name="Wykres 1">
              <a:extLst xmlns:a="http://schemas.openxmlformats.org/drawingml/2006/main">
                <a:ext uri="{FF2B5EF4-FFF2-40B4-BE49-F238E27FC236}">
                  <a16:creationId xmlns:a16="http://schemas.microsoft.com/office/drawing/2014/main" id="{DBA7F827-A3F3-4B12-8FF9-D33AF7C267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noProof/>
        </w:rPr>
        <w:drawing>
          <wp:inline distT="0" distB="0" distL="0" distR="0" wp14:anchorId="73FE6E24" wp14:editId="48ECB47D">
            <wp:extent cx="1400175" cy="1940906"/>
            <wp:effectExtent l="0" t="0" r="0" b="2540"/>
            <wp:docPr id="2" name="Wykres 2">
              <a:extLst xmlns:a="http://schemas.openxmlformats.org/drawingml/2006/main">
                <a:ext uri="{FF2B5EF4-FFF2-40B4-BE49-F238E27FC236}">
                  <a16:creationId xmlns:a16="http://schemas.microsoft.com/office/drawing/2014/main" id="{DBA7F827-A3F3-4B12-8FF9-D33AF7C267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noProof/>
        </w:rPr>
        <w:drawing>
          <wp:inline distT="0" distB="0" distL="0" distR="0" wp14:anchorId="0FE839B2" wp14:editId="1CA3C6DB">
            <wp:extent cx="1384300" cy="1946341"/>
            <wp:effectExtent l="0" t="0" r="6350" b="0"/>
            <wp:docPr id="3" name="Wykres 3">
              <a:extLst xmlns:a="http://schemas.openxmlformats.org/drawingml/2006/main">
                <a:ext uri="{FF2B5EF4-FFF2-40B4-BE49-F238E27FC236}">
                  <a16:creationId xmlns:a16="http://schemas.microsoft.com/office/drawing/2014/main" id="{DBA7F827-A3F3-4B12-8FF9-D33AF7C267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noProof/>
        </w:rPr>
        <w:drawing>
          <wp:inline distT="0" distB="0" distL="0" distR="0" wp14:anchorId="5B57602E" wp14:editId="24B62668">
            <wp:extent cx="1411605" cy="1904431"/>
            <wp:effectExtent l="0" t="0" r="0" b="635"/>
            <wp:docPr id="4" name="Wykres 4">
              <a:extLst xmlns:a="http://schemas.openxmlformats.org/drawingml/2006/main">
                <a:ext uri="{FF2B5EF4-FFF2-40B4-BE49-F238E27FC236}">
                  <a16:creationId xmlns:a16="http://schemas.microsoft.com/office/drawing/2014/main" id="{DBA7F827-A3F3-4B12-8FF9-D33AF7C267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901E80" w:rsidRPr="00901E80">
        <w:rPr>
          <w:rFonts w:ascii="Calibri" w:eastAsia="Calibri" w:hAnsi="Calibri"/>
          <w:bCs/>
          <w:i/>
          <w:sz w:val="16"/>
          <w:szCs w:val="16"/>
          <w:lang w:eastAsia="en-US"/>
        </w:rPr>
        <w:t xml:space="preserve"> Źródło: badanie</w:t>
      </w:r>
      <w:r w:rsidR="00901E80" w:rsidRPr="00901E80">
        <w:rPr>
          <w:rFonts w:ascii="Calibri" w:eastAsia="Calibri" w:hAnsi="Calibri"/>
          <w:i/>
          <w:sz w:val="16"/>
          <w:szCs w:val="16"/>
          <w:lang w:eastAsia="en-US"/>
        </w:rPr>
        <w:t xml:space="preserve"> </w:t>
      </w:r>
      <w:proofErr w:type="spellStart"/>
      <w:r w:rsidR="00901E80" w:rsidRPr="00901E80">
        <w:rPr>
          <w:rFonts w:ascii="Calibri" w:eastAsia="Calibri" w:hAnsi="Calibri"/>
          <w:bCs/>
          <w:i/>
          <w:sz w:val="16"/>
          <w:szCs w:val="16"/>
          <w:lang w:eastAsia="en-US"/>
        </w:rPr>
        <w:t>Keralla</w:t>
      </w:r>
      <w:proofErr w:type="spellEnd"/>
      <w:r w:rsidR="00901E80" w:rsidRPr="00901E80">
        <w:rPr>
          <w:rFonts w:ascii="Calibri" w:eastAsia="Calibri" w:hAnsi="Calibri"/>
          <w:bCs/>
          <w:i/>
          <w:sz w:val="16"/>
          <w:szCs w:val="16"/>
          <w:lang w:eastAsia="en-US"/>
        </w:rPr>
        <w:t xml:space="preserve"> </w:t>
      </w:r>
      <w:proofErr w:type="spellStart"/>
      <w:r w:rsidR="00901E80" w:rsidRPr="00901E80">
        <w:rPr>
          <w:rFonts w:ascii="Calibri" w:eastAsia="Calibri" w:hAnsi="Calibri"/>
          <w:bCs/>
          <w:i/>
          <w:sz w:val="16"/>
          <w:szCs w:val="16"/>
          <w:lang w:eastAsia="en-US"/>
        </w:rPr>
        <w:t>Research</w:t>
      </w:r>
      <w:proofErr w:type="spellEnd"/>
      <w:r w:rsidR="00901E80" w:rsidRPr="00901E80">
        <w:rPr>
          <w:rFonts w:ascii="Calibri" w:eastAsia="Calibri" w:hAnsi="Calibri"/>
          <w:bCs/>
          <w:i/>
          <w:sz w:val="16"/>
          <w:szCs w:val="16"/>
          <w:lang w:eastAsia="en-US"/>
        </w:rPr>
        <w:t xml:space="preserve"> dla BIG InfoMonitor</w:t>
      </w:r>
    </w:p>
    <w:p w14:paraId="729D6760" w14:textId="48CE64F1" w:rsidR="00E220B7" w:rsidRDefault="002D16A4" w:rsidP="00413E33">
      <w:pPr>
        <w:spacing w:after="120" w:line="276" w:lineRule="auto"/>
        <w:jc w:val="both"/>
        <w:rPr>
          <w:iCs/>
        </w:rPr>
      </w:pPr>
      <w:r>
        <w:rPr>
          <w:iCs/>
        </w:rPr>
        <w:t>P</w:t>
      </w:r>
      <w:r w:rsidR="00E220B7">
        <w:rPr>
          <w:iCs/>
        </w:rPr>
        <w:t xml:space="preserve">odczas gdy ogólnie </w:t>
      </w:r>
      <w:r w:rsidR="004A3AB7">
        <w:rPr>
          <w:iCs/>
        </w:rPr>
        <w:t>na</w:t>
      </w:r>
      <w:r w:rsidR="00E220B7">
        <w:rPr>
          <w:iCs/>
        </w:rPr>
        <w:t xml:space="preserve"> </w:t>
      </w:r>
      <w:r w:rsidR="004A3AB7">
        <w:rPr>
          <w:iCs/>
        </w:rPr>
        <w:t xml:space="preserve">prawdopodobieństwo bankructwa </w:t>
      </w:r>
      <w:r w:rsidR="00E220B7">
        <w:rPr>
          <w:iCs/>
        </w:rPr>
        <w:t>firmy</w:t>
      </w:r>
      <w:r w:rsidR="004A3AB7">
        <w:rPr>
          <w:iCs/>
        </w:rPr>
        <w:t>,</w:t>
      </w:r>
      <w:r w:rsidR="00E220B7">
        <w:rPr>
          <w:iCs/>
        </w:rPr>
        <w:t xml:space="preserve"> w ciągu </w:t>
      </w:r>
      <w:r w:rsidR="004A3AB7">
        <w:rPr>
          <w:iCs/>
        </w:rPr>
        <w:t xml:space="preserve">minionych 12 miesięcy </w:t>
      </w:r>
      <w:r>
        <w:rPr>
          <w:iCs/>
        </w:rPr>
        <w:t xml:space="preserve">wskazywało </w:t>
      </w:r>
      <w:r w:rsidR="00F87D90">
        <w:rPr>
          <w:iCs/>
        </w:rPr>
        <w:t>21,8 proc. przedsiębiorców, to w</w:t>
      </w:r>
      <w:r w:rsidR="00D61EF2">
        <w:rPr>
          <w:iCs/>
        </w:rPr>
        <w:t xml:space="preserve"> </w:t>
      </w:r>
      <w:r w:rsidR="00F87D90">
        <w:rPr>
          <w:iCs/>
        </w:rPr>
        <w:t xml:space="preserve">usługach ten odsetek wynosił aż 30,2 proc. i był dwukrotnie wyższy niż </w:t>
      </w:r>
      <w:r w:rsidR="004A3AB7">
        <w:rPr>
          <w:iCs/>
        </w:rPr>
        <w:t xml:space="preserve">np. </w:t>
      </w:r>
      <w:r w:rsidR="00F87D90">
        <w:rPr>
          <w:iCs/>
        </w:rPr>
        <w:t xml:space="preserve">w produkcji (15,1 proc.) i niemal trzykrotnie </w:t>
      </w:r>
      <w:r w:rsidR="004A3AB7">
        <w:rPr>
          <w:iCs/>
        </w:rPr>
        <w:t xml:space="preserve">wyższy </w:t>
      </w:r>
      <w:r w:rsidR="00F87D90">
        <w:rPr>
          <w:iCs/>
        </w:rPr>
        <w:t>niż w handlu (11,5</w:t>
      </w:r>
      <w:r w:rsidR="00D61EF2">
        <w:rPr>
          <w:iCs/>
        </w:rPr>
        <w:t> </w:t>
      </w:r>
      <w:r w:rsidR="00F87D90">
        <w:rPr>
          <w:iCs/>
        </w:rPr>
        <w:t>proc.)</w:t>
      </w:r>
      <w:r>
        <w:rPr>
          <w:iCs/>
        </w:rPr>
        <w:t xml:space="preserve"> </w:t>
      </w:r>
      <w:r w:rsidR="00D61EF2">
        <w:rPr>
          <w:iCs/>
        </w:rPr>
        <w:t>–</w:t>
      </w:r>
      <w:r>
        <w:rPr>
          <w:iCs/>
        </w:rPr>
        <w:t xml:space="preserve"> wynika z badania zrealizowanego przez Instytut </w:t>
      </w:r>
      <w:proofErr w:type="spellStart"/>
      <w:r>
        <w:rPr>
          <w:iCs/>
        </w:rPr>
        <w:t>Keralla</w:t>
      </w:r>
      <w:proofErr w:type="spellEnd"/>
      <w:r>
        <w:rPr>
          <w:iCs/>
        </w:rPr>
        <w:t xml:space="preserve"> </w:t>
      </w:r>
      <w:proofErr w:type="spellStart"/>
      <w:r>
        <w:rPr>
          <w:iCs/>
        </w:rPr>
        <w:t>Research</w:t>
      </w:r>
      <w:proofErr w:type="spellEnd"/>
      <w:r>
        <w:rPr>
          <w:iCs/>
        </w:rPr>
        <w:t xml:space="preserve"> dla Rejestru Dłużników BIG InfoMonitor.</w:t>
      </w:r>
    </w:p>
    <w:p w14:paraId="437CBD13" w14:textId="7C335A83" w:rsidR="008D7F57" w:rsidRPr="00534283" w:rsidRDefault="008D7F57" w:rsidP="00534283">
      <w:pPr>
        <w:spacing w:after="240"/>
        <w:jc w:val="both"/>
        <w:rPr>
          <w:rFonts w:cstheme="minorHAnsi"/>
          <w:bCs/>
          <w:i/>
          <w:iCs/>
          <w:color w:val="000000"/>
          <w:sz w:val="16"/>
          <w:szCs w:val="16"/>
        </w:rPr>
      </w:pPr>
      <w:r>
        <w:rPr>
          <w:noProof/>
        </w:rPr>
        <w:drawing>
          <wp:inline distT="0" distB="0" distL="0" distR="0" wp14:anchorId="50E1A829" wp14:editId="4D165ED3">
            <wp:extent cx="5765165" cy="4227615"/>
            <wp:effectExtent l="0" t="0" r="6985" b="1905"/>
            <wp:docPr id="7" name="Wykres 7">
              <a:extLst xmlns:a="http://schemas.openxmlformats.org/drawingml/2006/main">
                <a:ext uri="{FF2B5EF4-FFF2-40B4-BE49-F238E27FC236}">
                  <a16:creationId xmlns:a16="http://schemas.microsoft.com/office/drawing/2014/main" id="{B5010E38-DA7A-4AAA-BB4F-7C726FA207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442194" w:rsidRPr="007D45FB">
        <w:rPr>
          <w:rFonts w:cstheme="minorHAnsi"/>
          <w:bCs/>
          <w:i/>
          <w:iCs/>
          <w:color w:val="000000"/>
          <w:sz w:val="16"/>
          <w:szCs w:val="16"/>
        </w:rPr>
        <w:t>Źródło: Rejestr Dłużników BIG InfoMonitor i BIK</w:t>
      </w:r>
    </w:p>
    <w:p w14:paraId="3F461C13" w14:textId="109B28E8" w:rsidR="00222BD0" w:rsidRPr="0099692D" w:rsidRDefault="002D16A4" w:rsidP="009F6D3E">
      <w:pPr>
        <w:spacing w:after="120" w:line="276" w:lineRule="auto"/>
        <w:jc w:val="both"/>
        <w:rPr>
          <w:iCs/>
        </w:rPr>
      </w:pPr>
      <w:r>
        <w:rPr>
          <w:iCs/>
        </w:rPr>
        <w:lastRenderedPageBreak/>
        <w:t xml:space="preserve">Choć najbardziej </w:t>
      </w:r>
      <w:proofErr w:type="spellStart"/>
      <w:r>
        <w:rPr>
          <w:iCs/>
        </w:rPr>
        <w:t>covidowe</w:t>
      </w:r>
      <w:proofErr w:type="spellEnd"/>
      <w:r>
        <w:rPr>
          <w:iCs/>
        </w:rPr>
        <w:t xml:space="preserve"> obostrzenia przełożyły się na pogłębienie przeterminowanych zobowiązań ruchomych punktów gastronomicznych, to jednak największ</w:t>
      </w:r>
      <w:r w:rsidR="00F86C65">
        <w:rPr>
          <w:iCs/>
        </w:rPr>
        <w:t>a</w:t>
      </w:r>
      <w:r>
        <w:rPr>
          <w:iCs/>
        </w:rPr>
        <w:t xml:space="preserve"> kwota zaległości ciąży na </w:t>
      </w:r>
      <w:r w:rsidR="005D3F05">
        <w:rPr>
          <w:iCs/>
        </w:rPr>
        <w:t>restauracj</w:t>
      </w:r>
      <w:r>
        <w:rPr>
          <w:iCs/>
        </w:rPr>
        <w:t>ach</w:t>
      </w:r>
      <w:r w:rsidR="005D3F05">
        <w:rPr>
          <w:iCs/>
        </w:rPr>
        <w:t xml:space="preserve"> i inn</w:t>
      </w:r>
      <w:r>
        <w:rPr>
          <w:iCs/>
        </w:rPr>
        <w:t xml:space="preserve">ych </w:t>
      </w:r>
      <w:r w:rsidR="005D3F05">
        <w:rPr>
          <w:iCs/>
        </w:rPr>
        <w:t>stał</w:t>
      </w:r>
      <w:r>
        <w:rPr>
          <w:iCs/>
        </w:rPr>
        <w:t>ych</w:t>
      </w:r>
      <w:r w:rsidR="005D3F05">
        <w:rPr>
          <w:iCs/>
        </w:rPr>
        <w:t xml:space="preserve"> placówk</w:t>
      </w:r>
      <w:r>
        <w:rPr>
          <w:iCs/>
        </w:rPr>
        <w:t>ach</w:t>
      </w:r>
      <w:r w:rsidR="005D3F05">
        <w:rPr>
          <w:iCs/>
        </w:rPr>
        <w:t xml:space="preserve"> gastronomiczn</w:t>
      </w:r>
      <w:r>
        <w:rPr>
          <w:iCs/>
        </w:rPr>
        <w:t xml:space="preserve">ych. Ich </w:t>
      </w:r>
      <w:r w:rsidR="005D3F05">
        <w:rPr>
          <w:iCs/>
        </w:rPr>
        <w:t>zadłużeni</w:t>
      </w:r>
      <w:r>
        <w:rPr>
          <w:iCs/>
        </w:rPr>
        <w:t xml:space="preserve">e przekroczyło już </w:t>
      </w:r>
      <w:r w:rsidR="005D3F05">
        <w:rPr>
          <w:iCs/>
        </w:rPr>
        <w:t>601</w:t>
      </w:r>
      <w:r>
        <w:rPr>
          <w:iCs/>
        </w:rPr>
        <w:t xml:space="preserve"> </w:t>
      </w:r>
      <w:r w:rsidR="005D3F05">
        <w:rPr>
          <w:iCs/>
        </w:rPr>
        <w:t xml:space="preserve">mln zł. To właśnie ta działalność miała też pokaźny przyrost zadłużenia między lutym a marcem br. </w:t>
      </w:r>
      <w:r w:rsidR="009F6D3E">
        <w:rPr>
          <w:iCs/>
        </w:rPr>
        <w:t>–</w:t>
      </w:r>
      <w:r w:rsidR="00534283">
        <w:rPr>
          <w:iCs/>
        </w:rPr>
        <w:t xml:space="preserve"> wzrosło</w:t>
      </w:r>
      <w:r w:rsidR="009F6D3E">
        <w:rPr>
          <w:iCs/>
        </w:rPr>
        <w:t xml:space="preserve"> </w:t>
      </w:r>
      <w:r w:rsidR="00534283">
        <w:rPr>
          <w:iCs/>
        </w:rPr>
        <w:t>o</w:t>
      </w:r>
      <w:r w:rsidR="005D3F05">
        <w:rPr>
          <w:iCs/>
        </w:rPr>
        <w:t xml:space="preserve">no o 11 </w:t>
      </w:r>
      <w:r w:rsidR="00387948">
        <w:rPr>
          <w:iCs/>
        </w:rPr>
        <w:t>mln zł</w:t>
      </w:r>
      <w:r w:rsidR="005D3F05">
        <w:rPr>
          <w:iCs/>
        </w:rPr>
        <w:t xml:space="preserve">. </w:t>
      </w:r>
    </w:p>
    <w:p w14:paraId="3C958C9B" w14:textId="41DB2CDF" w:rsidR="00901E80" w:rsidRPr="00901E80" w:rsidRDefault="00901E80" w:rsidP="00901E80">
      <w:pPr>
        <w:spacing w:before="240" w:after="120" w:line="276" w:lineRule="auto"/>
        <w:jc w:val="both"/>
        <w:rPr>
          <w:i/>
          <w:sz w:val="20"/>
          <w:szCs w:val="20"/>
        </w:rPr>
      </w:pPr>
      <w:r w:rsidRPr="00901E80">
        <w:rPr>
          <w:i/>
          <w:sz w:val="20"/>
          <w:szCs w:val="20"/>
        </w:rPr>
        <w:t xml:space="preserve">Badanie zrealizowane przez Instytut </w:t>
      </w:r>
      <w:proofErr w:type="spellStart"/>
      <w:r w:rsidRPr="00901E80">
        <w:rPr>
          <w:i/>
          <w:sz w:val="20"/>
          <w:szCs w:val="20"/>
        </w:rPr>
        <w:t>Keralla</w:t>
      </w:r>
      <w:proofErr w:type="spellEnd"/>
      <w:r w:rsidRPr="00901E80">
        <w:rPr>
          <w:i/>
          <w:sz w:val="20"/>
          <w:szCs w:val="20"/>
        </w:rPr>
        <w:t xml:space="preserve"> </w:t>
      </w:r>
      <w:proofErr w:type="spellStart"/>
      <w:r w:rsidRPr="00901E80">
        <w:rPr>
          <w:i/>
          <w:sz w:val="20"/>
          <w:szCs w:val="20"/>
        </w:rPr>
        <w:t>Research</w:t>
      </w:r>
      <w:proofErr w:type="spellEnd"/>
      <w:r w:rsidRPr="00901E80">
        <w:rPr>
          <w:i/>
          <w:sz w:val="20"/>
          <w:szCs w:val="20"/>
        </w:rPr>
        <w:t>, przeprowadzane co kwartał wśród mikro, małych i średnich firm. Próba = 500, technika: wywiady telefoniczne, termin: marzec / kwiecień 2021 r.</w:t>
      </w:r>
    </w:p>
    <w:p w14:paraId="661FF7D7" w14:textId="6AEDF139" w:rsidR="00E21835" w:rsidRPr="00CA6058" w:rsidRDefault="00E21835" w:rsidP="006474DE">
      <w:pPr>
        <w:spacing w:before="240" w:after="120" w:line="276" w:lineRule="auto"/>
        <w:jc w:val="both"/>
        <w:rPr>
          <w:bCs/>
          <w:color w:val="595959" w:themeColor="text1" w:themeTint="A6"/>
          <w:sz w:val="18"/>
          <w:szCs w:val="18"/>
        </w:rPr>
      </w:pPr>
      <w:r w:rsidRPr="00CA6058">
        <w:rPr>
          <w:b/>
          <w:bCs/>
          <w:color w:val="595959" w:themeColor="text1" w:themeTint="A6"/>
          <w:sz w:val="18"/>
          <w:szCs w:val="18"/>
        </w:rPr>
        <w:t xml:space="preserve">Biuro Informacji Gospodarczej InfoMonitor </w:t>
      </w:r>
      <w:r w:rsidRPr="00CA6058">
        <w:rPr>
          <w:bCs/>
          <w:color w:val="595959" w:themeColor="text1" w:themeTint="A6"/>
          <w:sz w:val="18"/>
          <w:szCs w:val="18"/>
        </w:rPr>
        <w:t>(BIG InfoMonitor) prowadzi Rejestr Dłużników BIG. Działając w oparciu o Ustawę o udostępnianiu informacji gospodarczych i wymianie danych gospodarczych przyjmuje, przechowuje i udostępnia informacje gospodarcze o przeterminowanym zadłużeniu osób i firm. BIG InfoMonitor umożliwia dostęp do baz: Biura Informacji Kredytowej i Związku Banków Polskich, dzięki czemu stanowi platformę wymiany informacji pomiędzy sektorem bankowym i pozostałymi sektorami gospodarki. Oferuje również sektorowi bankowemu i przedsiębiorcom narzędzia do weryfikowania wiarygodności płatniczej klientów i kontrahentów oraz wspiera ich w odzyskiwaniu zaległych należności. BIG InfoMonitor jest spółką zależną sektora bankowego - poprzez Biuro Informacji Kredytowej – swojego głównego akcjonariusza.</w:t>
      </w:r>
    </w:p>
    <w:p w14:paraId="3E02C0A5" w14:textId="77777777" w:rsidR="00E21835" w:rsidRDefault="00E21835" w:rsidP="006474DE">
      <w:pPr>
        <w:spacing w:before="240" w:after="120"/>
        <w:jc w:val="both"/>
        <w:rPr>
          <w:rFonts w:cs="Arial"/>
          <w:b/>
          <w:color w:val="595959" w:themeColor="text1" w:themeTint="A6"/>
          <w:sz w:val="18"/>
          <w:szCs w:val="18"/>
        </w:rPr>
      </w:pPr>
      <w:r w:rsidRPr="00F303A7">
        <w:rPr>
          <w:rFonts w:cs="Arial"/>
          <w:b/>
          <w:color w:val="595959" w:themeColor="text1" w:themeTint="A6"/>
          <w:sz w:val="18"/>
          <w:szCs w:val="18"/>
        </w:rPr>
        <w:t>Kontakt dla prasy:</w:t>
      </w:r>
    </w:p>
    <w:tbl>
      <w:tblPr>
        <w:tblW w:w="0" w:type="auto"/>
        <w:tblLook w:val="04A0" w:firstRow="1" w:lastRow="0" w:firstColumn="1" w:lastColumn="0" w:noHBand="0" w:noVBand="1"/>
      </w:tblPr>
      <w:tblGrid>
        <w:gridCol w:w="4533"/>
        <w:gridCol w:w="4539"/>
      </w:tblGrid>
      <w:tr w:rsidR="00E21835" w:rsidRPr="00F303A7" w14:paraId="42718E02" w14:textId="77777777" w:rsidTr="006474DE">
        <w:tc>
          <w:tcPr>
            <w:tcW w:w="4533" w:type="dxa"/>
            <w:hideMark/>
          </w:tcPr>
          <w:p w14:paraId="031336C4" w14:textId="77777777" w:rsidR="00E21835" w:rsidRPr="00F303A7" w:rsidRDefault="00E21835" w:rsidP="006474DE">
            <w:pPr>
              <w:spacing w:line="276" w:lineRule="auto"/>
              <w:ind w:left="-108"/>
              <w:jc w:val="both"/>
              <w:rPr>
                <w:rFonts w:cs="Arial"/>
                <w:b/>
                <w:color w:val="595959" w:themeColor="text1" w:themeTint="A6"/>
                <w:sz w:val="18"/>
                <w:szCs w:val="18"/>
              </w:rPr>
            </w:pPr>
            <w:r w:rsidRPr="00F303A7">
              <w:rPr>
                <w:rFonts w:cs="Arial"/>
                <w:b/>
                <w:color w:val="595959" w:themeColor="text1" w:themeTint="A6"/>
                <w:sz w:val="18"/>
                <w:szCs w:val="18"/>
              </w:rPr>
              <w:t>Halina Kochalska</w:t>
            </w:r>
          </w:p>
          <w:p w14:paraId="13289D80" w14:textId="77777777" w:rsidR="00E21835" w:rsidRPr="00F303A7" w:rsidRDefault="00E21835" w:rsidP="006474DE">
            <w:pPr>
              <w:spacing w:line="276" w:lineRule="auto"/>
              <w:ind w:left="-108"/>
              <w:jc w:val="both"/>
              <w:rPr>
                <w:rFonts w:cs="Arial"/>
                <w:color w:val="595959" w:themeColor="text1" w:themeTint="A6"/>
                <w:sz w:val="18"/>
                <w:szCs w:val="18"/>
              </w:rPr>
            </w:pPr>
            <w:r w:rsidRPr="00F303A7">
              <w:rPr>
                <w:rFonts w:cs="Arial"/>
                <w:color w:val="595959" w:themeColor="text1" w:themeTint="A6"/>
                <w:sz w:val="18"/>
                <w:szCs w:val="18"/>
              </w:rPr>
              <w:t>Rzecznik Prasowy</w:t>
            </w:r>
          </w:p>
          <w:p w14:paraId="182EF5FF" w14:textId="77777777" w:rsidR="00E21835" w:rsidRPr="00F303A7" w:rsidRDefault="00E21835" w:rsidP="006474DE">
            <w:pPr>
              <w:spacing w:line="276" w:lineRule="auto"/>
              <w:ind w:left="-108"/>
              <w:jc w:val="both"/>
              <w:rPr>
                <w:rFonts w:cs="Arial"/>
                <w:color w:val="595959" w:themeColor="text1" w:themeTint="A6"/>
                <w:sz w:val="18"/>
                <w:szCs w:val="18"/>
              </w:rPr>
            </w:pPr>
            <w:r w:rsidRPr="00F303A7">
              <w:rPr>
                <w:rFonts w:cs="Arial"/>
                <w:color w:val="595959" w:themeColor="text1" w:themeTint="A6"/>
                <w:sz w:val="18"/>
                <w:szCs w:val="18"/>
              </w:rPr>
              <w:t>tel.: +48 22 486 56 16</w:t>
            </w:r>
          </w:p>
          <w:p w14:paraId="5C9FEE7C" w14:textId="77777777" w:rsidR="00E21835" w:rsidRPr="00F303A7" w:rsidRDefault="00E21835" w:rsidP="006474DE">
            <w:pPr>
              <w:spacing w:line="276" w:lineRule="auto"/>
              <w:ind w:left="-108"/>
              <w:jc w:val="both"/>
              <w:rPr>
                <w:rFonts w:cs="Arial"/>
                <w:color w:val="595959" w:themeColor="text1" w:themeTint="A6"/>
                <w:sz w:val="18"/>
                <w:szCs w:val="18"/>
              </w:rPr>
            </w:pPr>
            <w:r w:rsidRPr="00F303A7">
              <w:rPr>
                <w:rFonts w:cs="Arial"/>
                <w:color w:val="595959" w:themeColor="text1" w:themeTint="A6"/>
                <w:sz w:val="18"/>
                <w:szCs w:val="18"/>
              </w:rPr>
              <w:t>kom.: + 48 602 601 010</w:t>
            </w:r>
          </w:p>
          <w:p w14:paraId="7E8CE362" w14:textId="77777777" w:rsidR="00E21835" w:rsidRPr="00F303A7" w:rsidRDefault="00232753" w:rsidP="006474DE">
            <w:pPr>
              <w:spacing w:line="276" w:lineRule="auto"/>
              <w:ind w:left="-108"/>
              <w:jc w:val="both"/>
              <w:rPr>
                <w:rFonts w:cs="Arial"/>
                <w:color w:val="595959" w:themeColor="text1" w:themeTint="A6"/>
                <w:sz w:val="18"/>
                <w:szCs w:val="18"/>
              </w:rPr>
            </w:pPr>
            <w:hyperlink r:id="rId13" w:history="1">
              <w:r w:rsidR="00E21835" w:rsidRPr="00F303A7">
                <w:rPr>
                  <w:color w:val="595959" w:themeColor="text1" w:themeTint="A6"/>
                  <w:sz w:val="18"/>
                  <w:szCs w:val="18"/>
                </w:rPr>
                <w:t>Halina.Kochalska@big.pl</w:t>
              </w:r>
            </w:hyperlink>
          </w:p>
        </w:tc>
        <w:tc>
          <w:tcPr>
            <w:tcW w:w="4539" w:type="dxa"/>
            <w:hideMark/>
          </w:tcPr>
          <w:p w14:paraId="7DFC2CB8" w14:textId="77777777" w:rsidR="00E21835" w:rsidRPr="00F303A7" w:rsidRDefault="00E21835" w:rsidP="006474DE">
            <w:pPr>
              <w:spacing w:line="276" w:lineRule="auto"/>
              <w:jc w:val="both"/>
              <w:rPr>
                <w:rFonts w:cs="Arial"/>
                <w:b/>
                <w:color w:val="595959" w:themeColor="text1" w:themeTint="A6"/>
                <w:sz w:val="18"/>
                <w:szCs w:val="18"/>
              </w:rPr>
            </w:pPr>
            <w:r w:rsidRPr="00F303A7">
              <w:rPr>
                <w:rFonts w:cs="Arial"/>
                <w:b/>
                <w:color w:val="595959" w:themeColor="text1" w:themeTint="A6"/>
                <w:sz w:val="18"/>
                <w:szCs w:val="18"/>
              </w:rPr>
              <w:t>Diana Borowiecka</w:t>
            </w:r>
          </w:p>
          <w:p w14:paraId="4E4C9471" w14:textId="77777777" w:rsidR="00E21835" w:rsidRPr="00F303A7" w:rsidRDefault="00E21835" w:rsidP="006474DE">
            <w:pPr>
              <w:spacing w:line="276" w:lineRule="auto"/>
              <w:jc w:val="both"/>
              <w:rPr>
                <w:rFonts w:cs="Arial"/>
                <w:color w:val="595959" w:themeColor="text1" w:themeTint="A6"/>
                <w:sz w:val="18"/>
                <w:szCs w:val="18"/>
              </w:rPr>
            </w:pPr>
            <w:r w:rsidRPr="00F303A7">
              <w:rPr>
                <w:rFonts w:cs="Arial"/>
                <w:color w:val="595959" w:themeColor="text1" w:themeTint="A6"/>
                <w:sz w:val="18"/>
                <w:szCs w:val="18"/>
              </w:rPr>
              <w:t>Biuro PR i Komunikacji</w:t>
            </w:r>
          </w:p>
          <w:p w14:paraId="6AE787CB" w14:textId="77777777" w:rsidR="00E21835" w:rsidRPr="00F303A7" w:rsidRDefault="00E21835" w:rsidP="006474DE">
            <w:pPr>
              <w:spacing w:line="276" w:lineRule="auto"/>
              <w:jc w:val="both"/>
              <w:rPr>
                <w:rFonts w:cs="Arial"/>
                <w:color w:val="595959" w:themeColor="text1" w:themeTint="A6"/>
                <w:sz w:val="18"/>
                <w:szCs w:val="18"/>
              </w:rPr>
            </w:pPr>
            <w:r w:rsidRPr="00F303A7">
              <w:rPr>
                <w:rFonts w:cs="Arial"/>
                <w:color w:val="595959" w:themeColor="text1" w:themeTint="A6"/>
                <w:sz w:val="18"/>
                <w:szCs w:val="18"/>
              </w:rPr>
              <w:t>tel.: +48 22 486 56 46</w:t>
            </w:r>
          </w:p>
          <w:p w14:paraId="4F51614B" w14:textId="77777777" w:rsidR="00E21835" w:rsidRPr="00F303A7" w:rsidRDefault="00E21835" w:rsidP="006474DE">
            <w:pPr>
              <w:spacing w:line="276" w:lineRule="auto"/>
              <w:jc w:val="both"/>
              <w:rPr>
                <w:rFonts w:cs="Arial"/>
                <w:color w:val="595959" w:themeColor="text1" w:themeTint="A6"/>
                <w:sz w:val="18"/>
                <w:szCs w:val="18"/>
              </w:rPr>
            </w:pPr>
            <w:r w:rsidRPr="00F303A7">
              <w:rPr>
                <w:rFonts w:cs="Arial"/>
                <w:color w:val="595959" w:themeColor="text1" w:themeTint="A6"/>
                <w:sz w:val="18"/>
                <w:szCs w:val="18"/>
              </w:rPr>
              <w:t>kom.: + 48 607 146 583</w:t>
            </w:r>
          </w:p>
          <w:p w14:paraId="000E5F7A" w14:textId="77777777" w:rsidR="00E21835" w:rsidRPr="00F303A7" w:rsidRDefault="00232753" w:rsidP="006474DE">
            <w:pPr>
              <w:spacing w:line="276" w:lineRule="auto"/>
              <w:jc w:val="both"/>
              <w:rPr>
                <w:rFonts w:cs="Arial"/>
                <w:color w:val="595959" w:themeColor="text1" w:themeTint="A6"/>
                <w:sz w:val="18"/>
                <w:szCs w:val="18"/>
              </w:rPr>
            </w:pPr>
            <w:hyperlink r:id="rId14" w:history="1">
              <w:r w:rsidR="00E21835" w:rsidRPr="00F303A7">
                <w:rPr>
                  <w:color w:val="595959" w:themeColor="text1" w:themeTint="A6"/>
                  <w:sz w:val="18"/>
                  <w:szCs w:val="18"/>
                </w:rPr>
                <w:t>Diana.Borowiecka@big.pl</w:t>
              </w:r>
            </w:hyperlink>
            <w:r w:rsidR="00E21835" w:rsidRPr="00F303A7">
              <w:rPr>
                <w:rFonts w:cs="Arial"/>
                <w:color w:val="595959" w:themeColor="text1" w:themeTint="A6"/>
                <w:sz w:val="18"/>
                <w:szCs w:val="18"/>
              </w:rPr>
              <w:t xml:space="preserve"> </w:t>
            </w:r>
          </w:p>
        </w:tc>
      </w:tr>
    </w:tbl>
    <w:p w14:paraId="23934695" w14:textId="77777777" w:rsidR="000C2FEC" w:rsidRDefault="000C2FEC" w:rsidP="000416DD">
      <w:pPr>
        <w:spacing w:after="120"/>
      </w:pPr>
    </w:p>
    <w:sectPr w:rsidR="000C2FEC" w:rsidSect="000C2FEC">
      <w:headerReference w:type="default" r:id="rId15"/>
      <w:footerReference w:type="even" r:id="rId16"/>
      <w:footerReference w:type="default" r:id="rId17"/>
      <w:headerReference w:type="first" r:id="rId18"/>
      <w:pgSz w:w="11906" w:h="16838" w:code="9"/>
      <w:pgMar w:top="2180" w:right="1417" w:bottom="1417" w:left="1417" w:header="709" w:footer="4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CC78A" w14:textId="77777777" w:rsidR="00232753" w:rsidRDefault="00232753" w:rsidP="00E21835">
      <w:r>
        <w:separator/>
      </w:r>
    </w:p>
  </w:endnote>
  <w:endnote w:type="continuationSeparator" w:id="0">
    <w:p w14:paraId="5FDDEEA8" w14:textId="77777777" w:rsidR="00232753" w:rsidRDefault="00232753" w:rsidP="00E21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D4E44" w14:textId="77777777" w:rsidR="000C2FEC" w:rsidRDefault="00A624B8" w:rsidP="000C2FE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8407166" w14:textId="77777777" w:rsidR="000C2FEC" w:rsidRDefault="000C2FEC" w:rsidP="000C2FE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F0A69" w14:textId="35A4CD52" w:rsidR="000C2FEC" w:rsidRDefault="00D1268B" w:rsidP="000C2FEC">
    <w:pPr>
      <w:pStyle w:val="Stopka"/>
      <w:framePr w:wrap="around" w:vAnchor="text" w:hAnchor="margin" w:xAlign="right" w:y="1"/>
      <w:rPr>
        <w:rStyle w:val="Numerstrony"/>
      </w:rPr>
    </w:pPr>
    <w:r>
      <w:rPr>
        <w:noProof/>
      </w:rPr>
      <mc:AlternateContent>
        <mc:Choice Requires="wps">
          <w:drawing>
            <wp:anchor distT="0" distB="0" distL="114300" distR="114300" simplePos="0" relativeHeight="251663360" behindDoc="0" locked="0" layoutInCell="0" allowOverlap="1" wp14:anchorId="0E658315" wp14:editId="4ABDF246">
              <wp:simplePos x="0" y="0"/>
              <wp:positionH relativeFrom="page">
                <wp:posOffset>0</wp:posOffset>
              </wp:positionH>
              <wp:positionV relativeFrom="page">
                <wp:posOffset>10227945</wp:posOffset>
              </wp:positionV>
              <wp:extent cx="7560310" cy="273050"/>
              <wp:effectExtent l="0" t="0" r="0" b="12700"/>
              <wp:wrapNone/>
              <wp:docPr id="5" name="MSIPCMd98f457c9d26231610b598da" descr="{&quot;HashCode&quot;:-10488500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AF144F" w14:textId="69EF4786" w:rsidR="00D1268B" w:rsidRPr="00D1268B" w:rsidRDefault="00D1268B" w:rsidP="00D1268B">
                          <w:pPr>
                            <w:jc w:val="right"/>
                            <w:rPr>
                              <w:rFonts w:ascii="Calibri" w:hAnsi="Calibri" w:cs="Calibri"/>
                              <w:color w:val="008000"/>
                              <w:sz w:val="20"/>
                            </w:rPr>
                          </w:pPr>
                          <w:r w:rsidRPr="00D1268B">
                            <w:rPr>
                              <w:rFonts w:ascii="Calibri" w:hAnsi="Calibri" w:cs="Calibri"/>
                              <w:color w:val="008000"/>
                              <w:sz w:val="20"/>
                            </w:rPr>
                            <w:t>Informacje Jawne</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0E658315" id="_x0000_t202" coordsize="21600,21600" o:spt="202" path="m,l,21600r21600,l21600,xe">
              <v:stroke joinstyle="miter"/>
              <v:path gradientshapeok="t" o:connecttype="rect"/>
            </v:shapetype>
            <v:shape id="MSIPCMd98f457c9d26231610b598da" o:spid="_x0000_s1026" type="#_x0000_t202" alt="{&quot;HashCode&quot;:-1048850003,&quot;Height&quot;:841.0,&quot;Width&quot;:595.0,&quot;Placement&quot;:&quot;Footer&quot;,&quot;Index&quot;:&quot;Primary&quot;,&quot;Section&quot;:1,&quot;Top&quot;:0.0,&quot;Left&quot;:0.0}" style="position:absolute;margin-left:0;margin-top:805.35pt;width:595.3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" o:allowincell="f" filled="f" stroked="f" strokeweight=".5pt">
              <v:fill o:detectmouseclick="t"/>
              <v:textbox inset=",0,20pt,0">
                <w:txbxContent>
                  <w:p w14:paraId="6BAF144F" w14:textId="69EF4786" w:rsidR="00D1268B" w:rsidRPr="00D1268B" w:rsidRDefault="00D1268B" w:rsidP="00D1268B">
                    <w:pPr>
                      <w:jc w:val="right"/>
                      <w:rPr>
                        <w:rFonts w:ascii="Calibri" w:hAnsi="Calibri" w:cs="Calibri"/>
                        <w:color w:val="008000"/>
                        <w:sz w:val="20"/>
                      </w:rPr>
                    </w:pPr>
                    <w:r w:rsidRPr="00D1268B">
                      <w:rPr>
                        <w:rFonts w:ascii="Calibri" w:hAnsi="Calibri" w:cs="Calibri"/>
                        <w:color w:val="008000"/>
                        <w:sz w:val="20"/>
                      </w:rPr>
                      <w:t>Informacje Jawne</w:t>
                    </w:r>
                  </w:p>
                </w:txbxContent>
              </v:textbox>
              <w10:wrap anchorx="page" anchory="page"/>
            </v:shape>
          </w:pict>
        </mc:Fallback>
      </mc:AlternateContent>
    </w:r>
    <w:r w:rsidR="00A624B8">
      <w:rPr>
        <w:rStyle w:val="Numerstrony"/>
      </w:rPr>
      <w:fldChar w:fldCharType="begin"/>
    </w:r>
    <w:r w:rsidR="00A624B8">
      <w:rPr>
        <w:rStyle w:val="Numerstrony"/>
      </w:rPr>
      <w:instrText xml:space="preserve">PAGE  </w:instrText>
    </w:r>
    <w:r w:rsidR="00A624B8">
      <w:rPr>
        <w:rStyle w:val="Numerstrony"/>
      </w:rPr>
      <w:fldChar w:fldCharType="separate"/>
    </w:r>
    <w:r w:rsidR="00AC743F">
      <w:rPr>
        <w:rStyle w:val="Numerstrony"/>
        <w:noProof/>
      </w:rPr>
      <w:t>2</w:t>
    </w:r>
    <w:r w:rsidR="00A624B8">
      <w:rPr>
        <w:rStyle w:val="Numerstrony"/>
      </w:rPr>
      <w:fldChar w:fldCharType="end"/>
    </w:r>
  </w:p>
  <w:p w14:paraId="577F33F0" w14:textId="77777777" w:rsidR="000C2FEC" w:rsidRPr="00D94BC7" w:rsidRDefault="000C2FE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6A026" w14:textId="77777777" w:rsidR="00232753" w:rsidRDefault="00232753" w:rsidP="00E21835">
      <w:r>
        <w:separator/>
      </w:r>
    </w:p>
  </w:footnote>
  <w:footnote w:type="continuationSeparator" w:id="0">
    <w:p w14:paraId="52DE8E9F" w14:textId="77777777" w:rsidR="00232753" w:rsidRDefault="00232753" w:rsidP="00E218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FA2D6" w14:textId="77777777" w:rsidR="000C2FEC" w:rsidRDefault="00A624B8" w:rsidP="000C2FEC">
    <w:pPr>
      <w:pStyle w:val="Nagwek"/>
    </w:pPr>
    <w:r>
      <w:rPr>
        <w:noProof/>
        <w:lang w:eastAsia="pl-PL"/>
      </w:rPr>
      <w:drawing>
        <wp:anchor distT="0" distB="0" distL="114300" distR="114300" simplePos="0" relativeHeight="251659264" behindDoc="0" locked="0" layoutInCell="1" allowOverlap="1" wp14:anchorId="0447B785" wp14:editId="4E580F3B">
          <wp:simplePos x="0" y="0"/>
          <wp:positionH relativeFrom="column">
            <wp:posOffset>4500245</wp:posOffset>
          </wp:positionH>
          <wp:positionV relativeFrom="paragraph">
            <wp:posOffset>274081</wp:posOffset>
          </wp:positionV>
          <wp:extent cx="1144905" cy="486410"/>
          <wp:effectExtent l="0" t="0" r="0" b="8890"/>
          <wp:wrapSquare wrapText="bothSides"/>
          <wp:docPr id="64" name="Obraz 64" descr="LogoBIG_pro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BIG_pros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4905" cy="4864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14893" w14:textId="452235DF" w:rsidR="000C2FEC" w:rsidRPr="00695EB6" w:rsidRDefault="006B7100" w:rsidP="007C1BC8">
    <w:pPr>
      <w:pStyle w:val="Nagwek"/>
      <w:jc w:val="right"/>
      <w:rPr>
        <w:b/>
        <w:sz w:val="24"/>
      </w:rPr>
    </w:pPr>
    <w:r w:rsidRPr="006B7100">
      <w:rPr>
        <w:b/>
        <w:noProof/>
        <w:sz w:val="24"/>
        <w:lang w:eastAsia="pl-PL"/>
      </w:rPr>
      <w:drawing>
        <wp:anchor distT="0" distB="0" distL="114300" distR="114300" simplePos="0" relativeHeight="251662336" behindDoc="1" locked="0" layoutInCell="1" allowOverlap="1" wp14:anchorId="417B9D8F" wp14:editId="17C96F83">
          <wp:simplePos x="0" y="0"/>
          <wp:positionH relativeFrom="column">
            <wp:posOffset>4405267</wp:posOffset>
          </wp:positionH>
          <wp:positionV relativeFrom="paragraph">
            <wp:posOffset>-635</wp:posOffset>
          </wp:positionV>
          <wp:extent cx="1295400" cy="542925"/>
          <wp:effectExtent l="0" t="0" r="0" b="9525"/>
          <wp:wrapNone/>
          <wp:docPr id="6" name="Obraz 6" descr="BIG%20InfoMonito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BIG%20InfoMonitor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542925"/>
                  </a:xfrm>
                  <a:prstGeom prst="rect">
                    <a:avLst/>
                  </a:prstGeom>
                  <a:noFill/>
                </pic:spPr>
              </pic:pic>
            </a:graphicData>
          </a:graphic>
        </wp:anchor>
      </w:drawing>
    </w:r>
    <w:r w:rsidRPr="006B7100">
      <w:rPr>
        <w:b/>
        <w:noProof/>
        <w:sz w:val="24"/>
        <w:lang w:eastAsia="pl-PL"/>
      </w:rPr>
      <w:drawing>
        <wp:anchor distT="0" distB="0" distL="114300" distR="114300" simplePos="0" relativeHeight="251661312" behindDoc="0" locked="0" layoutInCell="1" allowOverlap="1" wp14:anchorId="591D696A" wp14:editId="35B8BC96">
          <wp:simplePos x="0" y="0"/>
          <wp:positionH relativeFrom="margin">
            <wp:posOffset>46891</wp:posOffset>
          </wp:positionH>
          <wp:positionV relativeFrom="margin">
            <wp:posOffset>-893939</wp:posOffset>
          </wp:positionV>
          <wp:extent cx="1552575" cy="133350"/>
          <wp:effectExtent l="0" t="0" r="9525" b="0"/>
          <wp:wrapSquare wrapText="bothSides"/>
          <wp:docPr id="8" name="Obraz 8" descr="infomonitor_info prasow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infomonitor_info prasowe_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2575" cy="13335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835"/>
    <w:rsid w:val="00007A7D"/>
    <w:rsid w:val="00020A35"/>
    <w:rsid w:val="00022F2C"/>
    <w:rsid w:val="000275D2"/>
    <w:rsid w:val="000343E0"/>
    <w:rsid w:val="00037B8E"/>
    <w:rsid w:val="000416DD"/>
    <w:rsid w:val="00044FDA"/>
    <w:rsid w:val="00072230"/>
    <w:rsid w:val="00077AEA"/>
    <w:rsid w:val="000B6DE8"/>
    <w:rsid w:val="000C2FEC"/>
    <w:rsid w:val="000D4200"/>
    <w:rsid w:val="000E34E6"/>
    <w:rsid w:val="000E567A"/>
    <w:rsid w:val="0012352A"/>
    <w:rsid w:val="00130423"/>
    <w:rsid w:val="00140A1E"/>
    <w:rsid w:val="00143E0D"/>
    <w:rsid w:val="001456E4"/>
    <w:rsid w:val="0015388E"/>
    <w:rsid w:val="00171134"/>
    <w:rsid w:val="00176492"/>
    <w:rsid w:val="00185742"/>
    <w:rsid w:val="001A1769"/>
    <w:rsid w:val="001A4B53"/>
    <w:rsid w:val="001D5090"/>
    <w:rsid w:val="001D58BB"/>
    <w:rsid w:val="001E0FDC"/>
    <w:rsid w:val="001E3FE5"/>
    <w:rsid w:val="001E59D5"/>
    <w:rsid w:val="001E5FDF"/>
    <w:rsid w:val="001E65AE"/>
    <w:rsid w:val="001F163C"/>
    <w:rsid w:val="001F5E77"/>
    <w:rsid w:val="001F5F7E"/>
    <w:rsid w:val="0020539A"/>
    <w:rsid w:val="00213D86"/>
    <w:rsid w:val="00214D83"/>
    <w:rsid w:val="00222BD0"/>
    <w:rsid w:val="00232753"/>
    <w:rsid w:val="00243091"/>
    <w:rsid w:val="00243E9E"/>
    <w:rsid w:val="00250422"/>
    <w:rsid w:val="002508D4"/>
    <w:rsid w:val="002524F8"/>
    <w:rsid w:val="0026641E"/>
    <w:rsid w:val="00284EBE"/>
    <w:rsid w:val="002912AD"/>
    <w:rsid w:val="0029249D"/>
    <w:rsid w:val="00296E10"/>
    <w:rsid w:val="002A73E0"/>
    <w:rsid w:val="002C4269"/>
    <w:rsid w:val="002D16A4"/>
    <w:rsid w:val="002D5AB3"/>
    <w:rsid w:val="002E0C8E"/>
    <w:rsid w:val="00316EB4"/>
    <w:rsid w:val="003238BF"/>
    <w:rsid w:val="00333FA2"/>
    <w:rsid w:val="0034003A"/>
    <w:rsid w:val="00346DB5"/>
    <w:rsid w:val="003542CF"/>
    <w:rsid w:val="003608BE"/>
    <w:rsid w:val="003713BB"/>
    <w:rsid w:val="00372292"/>
    <w:rsid w:val="003816F6"/>
    <w:rsid w:val="00384BFF"/>
    <w:rsid w:val="00387948"/>
    <w:rsid w:val="00394A14"/>
    <w:rsid w:val="003B68F4"/>
    <w:rsid w:val="003C5D42"/>
    <w:rsid w:val="003D30B2"/>
    <w:rsid w:val="003D5020"/>
    <w:rsid w:val="003F71D3"/>
    <w:rsid w:val="003F7BEC"/>
    <w:rsid w:val="004020A2"/>
    <w:rsid w:val="00413E33"/>
    <w:rsid w:val="00420307"/>
    <w:rsid w:val="00424CF1"/>
    <w:rsid w:val="0044119B"/>
    <w:rsid w:val="00442194"/>
    <w:rsid w:val="00453036"/>
    <w:rsid w:val="00455487"/>
    <w:rsid w:val="0045739E"/>
    <w:rsid w:val="00485A93"/>
    <w:rsid w:val="00486F8E"/>
    <w:rsid w:val="004933C9"/>
    <w:rsid w:val="004A3AB7"/>
    <w:rsid w:val="004C2439"/>
    <w:rsid w:val="004D1882"/>
    <w:rsid w:val="004F7C9F"/>
    <w:rsid w:val="005006FB"/>
    <w:rsid w:val="005115D4"/>
    <w:rsid w:val="00512257"/>
    <w:rsid w:val="00517E79"/>
    <w:rsid w:val="0052395F"/>
    <w:rsid w:val="00531B2E"/>
    <w:rsid w:val="00534283"/>
    <w:rsid w:val="005411AE"/>
    <w:rsid w:val="00546E41"/>
    <w:rsid w:val="005544B9"/>
    <w:rsid w:val="0055699D"/>
    <w:rsid w:val="00557923"/>
    <w:rsid w:val="00562BE9"/>
    <w:rsid w:val="005B7A48"/>
    <w:rsid w:val="005C05C7"/>
    <w:rsid w:val="005C0C8E"/>
    <w:rsid w:val="005D3F05"/>
    <w:rsid w:val="005E00DC"/>
    <w:rsid w:val="005F13FF"/>
    <w:rsid w:val="00602635"/>
    <w:rsid w:val="006111F4"/>
    <w:rsid w:val="006251F2"/>
    <w:rsid w:val="00626079"/>
    <w:rsid w:val="006356C8"/>
    <w:rsid w:val="00646B89"/>
    <w:rsid w:val="006474DE"/>
    <w:rsid w:val="00651959"/>
    <w:rsid w:val="006543D5"/>
    <w:rsid w:val="00673F79"/>
    <w:rsid w:val="00694A6A"/>
    <w:rsid w:val="006A2FC9"/>
    <w:rsid w:val="006A31CC"/>
    <w:rsid w:val="006B7100"/>
    <w:rsid w:val="006C7509"/>
    <w:rsid w:val="006D4D89"/>
    <w:rsid w:val="006D6F87"/>
    <w:rsid w:val="006E3AA0"/>
    <w:rsid w:val="00720119"/>
    <w:rsid w:val="00720D34"/>
    <w:rsid w:val="007223AB"/>
    <w:rsid w:val="00722CCB"/>
    <w:rsid w:val="007253B6"/>
    <w:rsid w:val="00725861"/>
    <w:rsid w:val="00770367"/>
    <w:rsid w:val="007724A7"/>
    <w:rsid w:val="0077365B"/>
    <w:rsid w:val="0079177B"/>
    <w:rsid w:val="007A38FE"/>
    <w:rsid w:val="007A5812"/>
    <w:rsid w:val="007B5198"/>
    <w:rsid w:val="007C0AA5"/>
    <w:rsid w:val="007C1BC8"/>
    <w:rsid w:val="007C3702"/>
    <w:rsid w:val="007E05BC"/>
    <w:rsid w:val="007E2C24"/>
    <w:rsid w:val="007F562F"/>
    <w:rsid w:val="00816B91"/>
    <w:rsid w:val="00827862"/>
    <w:rsid w:val="00831F83"/>
    <w:rsid w:val="00846678"/>
    <w:rsid w:val="008515C5"/>
    <w:rsid w:val="00853B50"/>
    <w:rsid w:val="00890641"/>
    <w:rsid w:val="00891E25"/>
    <w:rsid w:val="008D09BE"/>
    <w:rsid w:val="008D7F57"/>
    <w:rsid w:val="008E73FF"/>
    <w:rsid w:val="008F3BFD"/>
    <w:rsid w:val="008F3C76"/>
    <w:rsid w:val="00901E80"/>
    <w:rsid w:val="00904025"/>
    <w:rsid w:val="00927146"/>
    <w:rsid w:val="00940414"/>
    <w:rsid w:val="009656D7"/>
    <w:rsid w:val="0097199B"/>
    <w:rsid w:val="00995A56"/>
    <w:rsid w:val="0099692D"/>
    <w:rsid w:val="009A32BF"/>
    <w:rsid w:val="009B0CBD"/>
    <w:rsid w:val="009C100D"/>
    <w:rsid w:val="009C516D"/>
    <w:rsid w:val="009C75E3"/>
    <w:rsid w:val="009D363A"/>
    <w:rsid w:val="009E464E"/>
    <w:rsid w:val="009F1304"/>
    <w:rsid w:val="009F5FF0"/>
    <w:rsid w:val="009F6D3E"/>
    <w:rsid w:val="00A01BDC"/>
    <w:rsid w:val="00A0296B"/>
    <w:rsid w:val="00A053B8"/>
    <w:rsid w:val="00A143E1"/>
    <w:rsid w:val="00A15D2C"/>
    <w:rsid w:val="00A20F7B"/>
    <w:rsid w:val="00A25F20"/>
    <w:rsid w:val="00A358E6"/>
    <w:rsid w:val="00A411C0"/>
    <w:rsid w:val="00A43598"/>
    <w:rsid w:val="00A532C0"/>
    <w:rsid w:val="00A570B2"/>
    <w:rsid w:val="00A607E2"/>
    <w:rsid w:val="00A624B8"/>
    <w:rsid w:val="00A647B9"/>
    <w:rsid w:val="00A64C73"/>
    <w:rsid w:val="00A765B8"/>
    <w:rsid w:val="00A77CEC"/>
    <w:rsid w:val="00AA1BE4"/>
    <w:rsid w:val="00AB77A5"/>
    <w:rsid w:val="00AC3E31"/>
    <w:rsid w:val="00AC743F"/>
    <w:rsid w:val="00AE4895"/>
    <w:rsid w:val="00AE794B"/>
    <w:rsid w:val="00AF08FD"/>
    <w:rsid w:val="00AF27CF"/>
    <w:rsid w:val="00B02E2C"/>
    <w:rsid w:val="00B11608"/>
    <w:rsid w:val="00B15B15"/>
    <w:rsid w:val="00B23284"/>
    <w:rsid w:val="00B3672D"/>
    <w:rsid w:val="00B529FB"/>
    <w:rsid w:val="00B62507"/>
    <w:rsid w:val="00B643BB"/>
    <w:rsid w:val="00B71745"/>
    <w:rsid w:val="00B80B4A"/>
    <w:rsid w:val="00B874BA"/>
    <w:rsid w:val="00B91D29"/>
    <w:rsid w:val="00BA15BC"/>
    <w:rsid w:val="00BB0595"/>
    <w:rsid w:val="00BB2343"/>
    <w:rsid w:val="00BB5F2A"/>
    <w:rsid w:val="00BE5853"/>
    <w:rsid w:val="00BE6880"/>
    <w:rsid w:val="00BF5A24"/>
    <w:rsid w:val="00C110F7"/>
    <w:rsid w:val="00C152A8"/>
    <w:rsid w:val="00C226B9"/>
    <w:rsid w:val="00C34457"/>
    <w:rsid w:val="00C47B9F"/>
    <w:rsid w:val="00C51E11"/>
    <w:rsid w:val="00C532B7"/>
    <w:rsid w:val="00C7098F"/>
    <w:rsid w:val="00C938C1"/>
    <w:rsid w:val="00C95D29"/>
    <w:rsid w:val="00CB0AC1"/>
    <w:rsid w:val="00CC2955"/>
    <w:rsid w:val="00CC344C"/>
    <w:rsid w:val="00CC68BA"/>
    <w:rsid w:val="00CE296D"/>
    <w:rsid w:val="00CE41B0"/>
    <w:rsid w:val="00CF079C"/>
    <w:rsid w:val="00CF5873"/>
    <w:rsid w:val="00CF709C"/>
    <w:rsid w:val="00D10C2C"/>
    <w:rsid w:val="00D1268B"/>
    <w:rsid w:val="00D54C1D"/>
    <w:rsid w:val="00D57535"/>
    <w:rsid w:val="00D60A4F"/>
    <w:rsid w:val="00D61EF2"/>
    <w:rsid w:val="00D63208"/>
    <w:rsid w:val="00D6320D"/>
    <w:rsid w:val="00D678C7"/>
    <w:rsid w:val="00D72F68"/>
    <w:rsid w:val="00D73A6A"/>
    <w:rsid w:val="00D946E1"/>
    <w:rsid w:val="00DA5F06"/>
    <w:rsid w:val="00DB34E3"/>
    <w:rsid w:val="00DB4C1A"/>
    <w:rsid w:val="00DB7CC0"/>
    <w:rsid w:val="00DC03A9"/>
    <w:rsid w:val="00DC566C"/>
    <w:rsid w:val="00DD5F95"/>
    <w:rsid w:val="00DE713E"/>
    <w:rsid w:val="00E21835"/>
    <w:rsid w:val="00E220B7"/>
    <w:rsid w:val="00E223CE"/>
    <w:rsid w:val="00E32C1A"/>
    <w:rsid w:val="00E32CDA"/>
    <w:rsid w:val="00E578AC"/>
    <w:rsid w:val="00E61A77"/>
    <w:rsid w:val="00E71759"/>
    <w:rsid w:val="00E84E5F"/>
    <w:rsid w:val="00E922B5"/>
    <w:rsid w:val="00E9716B"/>
    <w:rsid w:val="00EA0624"/>
    <w:rsid w:val="00EB2117"/>
    <w:rsid w:val="00ED3942"/>
    <w:rsid w:val="00EF6942"/>
    <w:rsid w:val="00F069DB"/>
    <w:rsid w:val="00F20677"/>
    <w:rsid w:val="00F23EBE"/>
    <w:rsid w:val="00F26EB0"/>
    <w:rsid w:val="00F50E15"/>
    <w:rsid w:val="00F53032"/>
    <w:rsid w:val="00F55D41"/>
    <w:rsid w:val="00F66B33"/>
    <w:rsid w:val="00F800B1"/>
    <w:rsid w:val="00F860EA"/>
    <w:rsid w:val="00F86C65"/>
    <w:rsid w:val="00F87D90"/>
    <w:rsid w:val="00F87F81"/>
    <w:rsid w:val="00F9228D"/>
    <w:rsid w:val="00FA5BAD"/>
    <w:rsid w:val="00FB19B4"/>
    <w:rsid w:val="00FD082D"/>
    <w:rsid w:val="00FE15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0137A3"/>
  <w15:chartTrackingRefBased/>
  <w15:docId w15:val="{5DFC0F1A-CC60-4175-9493-8ED9825FF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21835"/>
    <w:pPr>
      <w:spacing w:after="0" w:line="240" w:lineRule="auto"/>
    </w:pPr>
    <w:rPr>
      <w:rFonts w:eastAsia="Times New Roman" w:cs="Times New Roman"/>
      <w:sz w:val="23"/>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E21835"/>
    <w:pPr>
      <w:tabs>
        <w:tab w:val="center" w:pos="4536"/>
        <w:tab w:val="right" w:pos="9072"/>
      </w:tabs>
    </w:pPr>
    <w:rPr>
      <w:rFonts w:eastAsiaTheme="minorHAnsi" w:cstheme="minorBidi"/>
      <w:sz w:val="22"/>
      <w:szCs w:val="22"/>
      <w:lang w:eastAsia="en-US"/>
    </w:rPr>
  </w:style>
  <w:style w:type="character" w:customStyle="1" w:styleId="NagwekZnak">
    <w:name w:val="Nagłówek Znak"/>
    <w:basedOn w:val="Domylnaczcionkaakapitu"/>
    <w:link w:val="Nagwek"/>
    <w:rsid w:val="00E21835"/>
  </w:style>
  <w:style w:type="paragraph" w:styleId="Stopka">
    <w:name w:val="footer"/>
    <w:basedOn w:val="Normalny"/>
    <w:link w:val="StopkaZnak"/>
    <w:unhideWhenUsed/>
    <w:rsid w:val="00E21835"/>
    <w:pPr>
      <w:tabs>
        <w:tab w:val="center" w:pos="4536"/>
        <w:tab w:val="right" w:pos="9072"/>
      </w:tabs>
    </w:pPr>
    <w:rPr>
      <w:rFonts w:eastAsiaTheme="minorHAnsi" w:cstheme="minorBidi"/>
      <w:sz w:val="22"/>
      <w:szCs w:val="22"/>
      <w:lang w:eastAsia="en-US"/>
    </w:rPr>
  </w:style>
  <w:style w:type="character" w:customStyle="1" w:styleId="StopkaZnak">
    <w:name w:val="Stopka Znak"/>
    <w:basedOn w:val="Domylnaczcionkaakapitu"/>
    <w:link w:val="Stopka"/>
    <w:rsid w:val="00E21835"/>
  </w:style>
  <w:style w:type="character" w:styleId="Numerstrony">
    <w:name w:val="page number"/>
    <w:basedOn w:val="Domylnaczcionkaakapitu"/>
    <w:rsid w:val="00E21835"/>
  </w:style>
  <w:style w:type="character" w:styleId="Odwoaniedokomentarza">
    <w:name w:val="annotation reference"/>
    <w:basedOn w:val="Domylnaczcionkaakapitu"/>
    <w:uiPriority w:val="99"/>
    <w:semiHidden/>
    <w:unhideWhenUsed/>
    <w:rsid w:val="00E21835"/>
    <w:rPr>
      <w:sz w:val="16"/>
      <w:szCs w:val="16"/>
    </w:rPr>
  </w:style>
  <w:style w:type="paragraph" w:styleId="Tekstkomentarza">
    <w:name w:val="annotation text"/>
    <w:basedOn w:val="Normalny"/>
    <w:link w:val="TekstkomentarzaZnak"/>
    <w:uiPriority w:val="99"/>
    <w:semiHidden/>
    <w:unhideWhenUsed/>
    <w:rsid w:val="00E21835"/>
    <w:rPr>
      <w:sz w:val="20"/>
      <w:szCs w:val="20"/>
    </w:rPr>
  </w:style>
  <w:style w:type="character" w:customStyle="1" w:styleId="TekstkomentarzaZnak">
    <w:name w:val="Tekst komentarza Znak"/>
    <w:basedOn w:val="Domylnaczcionkaakapitu"/>
    <w:link w:val="Tekstkomentarza"/>
    <w:uiPriority w:val="99"/>
    <w:semiHidden/>
    <w:rsid w:val="00E21835"/>
    <w:rPr>
      <w:rFonts w:eastAsia="Times New Roman" w:cs="Times New Roman"/>
      <w:sz w:val="20"/>
      <w:szCs w:val="20"/>
      <w:lang w:eastAsia="pl-PL"/>
    </w:rPr>
  </w:style>
  <w:style w:type="paragraph" w:styleId="Tekstprzypisudolnego">
    <w:name w:val="footnote text"/>
    <w:basedOn w:val="Normalny"/>
    <w:link w:val="TekstprzypisudolnegoZnak"/>
    <w:uiPriority w:val="99"/>
    <w:semiHidden/>
    <w:unhideWhenUsed/>
    <w:rsid w:val="00E21835"/>
    <w:rPr>
      <w:rFonts w:eastAsia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semiHidden/>
    <w:rsid w:val="00E21835"/>
    <w:rPr>
      <w:sz w:val="20"/>
      <w:szCs w:val="20"/>
    </w:rPr>
  </w:style>
  <w:style w:type="character" w:styleId="Odwoanieprzypisudolnego">
    <w:name w:val="footnote reference"/>
    <w:basedOn w:val="Domylnaczcionkaakapitu"/>
    <w:uiPriority w:val="99"/>
    <w:semiHidden/>
    <w:unhideWhenUsed/>
    <w:rsid w:val="00E21835"/>
    <w:rPr>
      <w:vertAlign w:val="superscript"/>
    </w:rPr>
  </w:style>
  <w:style w:type="character" w:styleId="Hipercze">
    <w:name w:val="Hyperlink"/>
    <w:basedOn w:val="Domylnaczcionkaakapitu"/>
    <w:uiPriority w:val="99"/>
    <w:semiHidden/>
    <w:unhideWhenUsed/>
    <w:rsid w:val="00E21835"/>
    <w:rPr>
      <w:color w:val="0000FF"/>
      <w:u w:val="single"/>
    </w:rPr>
  </w:style>
  <w:style w:type="paragraph" w:customStyle="1" w:styleId="go">
    <w:name w:val="go"/>
    <w:basedOn w:val="Normalny"/>
    <w:rsid w:val="00E21835"/>
    <w:pPr>
      <w:spacing w:before="100" w:beforeAutospacing="1" w:after="100" w:afterAutospacing="1"/>
    </w:pPr>
    <w:rPr>
      <w:rFonts w:ascii="Times New Roman" w:hAnsi="Times New Roman"/>
      <w:sz w:val="24"/>
    </w:rPr>
  </w:style>
  <w:style w:type="paragraph" w:styleId="Tekstdymka">
    <w:name w:val="Balloon Text"/>
    <w:basedOn w:val="Normalny"/>
    <w:link w:val="TekstdymkaZnak"/>
    <w:uiPriority w:val="99"/>
    <w:semiHidden/>
    <w:unhideWhenUsed/>
    <w:rsid w:val="00E218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E21835"/>
    <w:rPr>
      <w:rFonts w:ascii="Segoe UI" w:eastAsia="Times New Roman" w:hAnsi="Segoe UI" w:cs="Segoe UI"/>
      <w:sz w:val="18"/>
      <w:szCs w:val="18"/>
      <w:lang w:eastAsia="pl-PL"/>
    </w:rPr>
  </w:style>
  <w:style w:type="character" w:styleId="Uwydatnienie">
    <w:name w:val="Emphasis"/>
    <w:basedOn w:val="Domylnaczcionkaakapitu"/>
    <w:uiPriority w:val="20"/>
    <w:qFormat/>
    <w:rsid w:val="00B62507"/>
    <w:rPr>
      <w:i/>
      <w:iCs/>
    </w:rPr>
  </w:style>
  <w:style w:type="paragraph" w:styleId="Tematkomentarza">
    <w:name w:val="annotation subject"/>
    <w:basedOn w:val="Tekstkomentarza"/>
    <w:next w:val="Tekstkomentarza"/>
    <w:link w:val="TematkomentarzaZnak"/>
    <w:uiPriority w:val="99"/>
    <w:semiHidden/>
    <w:unhideWhenUsed/>
    <w:rsid w:val="00A053B8"/>
    <w:rPr>
      <w:b/>
      <w:bCs/>
    </w:rPr>
  </w:style>
  <w:style w:type="character" w:customStyle="1" w:styleId="TematkomentarzaZnak">
    <w:name w:val="Temat komentarza Znak"/>
    <w:basedOn w:val="TekstkomentarzaZnak"/>
    <w:link w:val="Tematkomentarza"/>
    <w:uiPriority w:val="99"/>
    <w:semiHidden/>
    <w:rsid w:val="00A053B8"/>
    <w:rPr>
      <w:rFonts w:eastAsia="Times New Roman" w:cs="Times New Roman"/>
      <w:b/>
      <w:bCs/>
      <w:sz w:val="20"/>
      <w:szCs w:val="20"/>
      <w:lang w:eastAsia="pl-PL"/>
    </w:rPr>
  </w:style>
  <w:style w:type="paragraph" w:styleId="Tekstprzypisukocowego">
    <w:name w:val="endnote text"/>
    <w:basedOn w:val="Normalny"/>
    <w:link w:val="TekstprzypisukocowegoZnak"/>
    <w:uiPriority w:val="99"/>
    <w:semiHidden/>
    <w:unhideWhenUsed/>
    <w:rsid w:val="00D60A4F"/>
    <w:rPr>
      <w:sz w:val="20"/>
      <w:szCs w:val="20"/>
    </w:rPr>
  </w:style>
  <w:style w:type="character" w:customStyle="1" w:styleId="TekstprzypisukocowegoZnak">
    <w:name w:val="Tekst przypisu końcowego Znak"/>
    <w:basedOn w:val="Domylnaczcionkaakapitu"/>
    <w:link w:val="Tekstprzypisukocowego"/>
    <w:uiPriority w:val="99"/>
    <w:semiHidden/>
    <w:rsid w:val="00D60A4F"/>
    <w:rPr>
      <w:rFonts w:eastAsia="Times New Roman" w:cs="Times New Roman"/>
      <w:sz w:val="20"/>
      <w:szCs w:val="20"/>
      <w:lang w:eastAsia="pl-PL"/>
    </w:rPr>
  </w:style>
  <w:style w:type="character" w:styleId="Odwoanieprzypisukocowego">
    <w:name w:val="endnote reference"/>
    <w:basedOn w:val="Domylnaczcionkaakapitu"/>
    <w:uiPriority w:val="99"/>
    <w:semiHidden/>
    <w:unhideWhenUsed/>
    <w:rsid w:val="00D60A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63324">
      <w:bodyDiv w:val="1"/>
      <w:marLeft w:val="0"/>
      <w:marRight w:val="0"/>
      <w:marTop w:val="0"/>
      <w:marBottom w:val="0"/>
      <w:divBdr>
        <w:top w:val="none" w:sz="0" w:space="0" w:color="auto"/>
        <w:left w:val="none" w:sz="0" w:space="0" w:color="auto"/>
        <w:bottom w:val="none" w:sz="0" w:space="0" w:color="auto"/>
        <w:right w:val="none" w:sz="0" w:space="0" w:color="auto"/>
      </w:divBdr>
    </w:div>
    <w:div w:id="184560318">
      <w:bodyDiv w:val="1"/>
      <w:marLeft w:val="0"/>
      <w:marRight w:val="0"/>
      <w:marTop w:val="0"/>
      <w:marBottom w:val="0"/>
      <w:divBdr>
        <w:top w:val="none" w:sz="0" w:space="0" w:color="auto"/>
        <w:left w:val="none" w:sz="0" w:space="0" w:color="auto"/>
        <w:bottom w:val="none" w:sz="0" w:space="0" w:color="auto"/>
        <w:right w:val="none" w:sz="0" w:space="0" w:color="auto"/>
      </w:divBdr>
    </w:div>
    <w:div w:id="306324216">
      <w:bodyDiv w:val="1"/>
      <w:marLeft w:val="0"/>
      <w:marRight w:val="0"/>
      <w:marTop w:val="0"/>
      <w:marBottom w:val="0"/>
      <w:divBdr>
        <w:top w:val="none" w:sz="0" w:space="0" w:color="auto"/>
        <w:left w:val="none" w:sz="0" w:space="0" w:color="auto"/>
        <w:bottom w:val="none" w:sz="0" w:space="0" w:color="auto"/>
        <w:right w:val="none" w:sz="0" w:space="0" w:color="auto"/>
      </w:divBdr>
    </w:div>
    <w:div w:id="317811873">
      <w:bodyDiv w:val="1"/>
      <w:marLeft w:val="0"/>
      <w:marRight w:val="0"/>
      <w:marTop w:val="0"/>
      <w:marBottom w:val="0"/>
      <w:divBdr>
        <w:top w:val="none" w:sz="0" w:space="0" w:color="auto"/>
        <w:left w:val="none" w:sz="0" w:space="0" w:color="auto"/>
        <w:bottom w:val="none" w:sz="0" w:space="0" w:color="auto"/>
        <w:right w:val="none" w:sz="0" w:space="0" w:color="auto"/>
      </w:divBdr>
    </w:div>
    <w:div w:id="618026371">
      <w:bodyDiv w:val="1"/>
      <w:marLeft w:val="0"/>
      <w:marRight w:val="0"/>
      <w:marTop w:val="0"/>
      <w:marBottom w:val="0"/>
      <w:divBdr>
        <w:top w:val="none" w:sz="0" w:space="0" w:color="auto"/>
        <w:left w:val="none" w:sz="0" w:space="0" w:color="auto"/>
        <w:bottom w:val="none" w:sz="0" w:space="0" w:color="auto"/>
        <w:right w:val="none" w:sz="0" w:space="0" w:color="auto"/>
      </w:divBdr>
    </w:div>
    <w:div w:id="750200034">
      <w:bodyDiv w:val="1"/>
      <w:marLeft w:val="0"/>
      <w:marRight w:val="0"/>
      <w:marTop w:val="0"/>
      <w:marBottom w:val="0"/>
      <w:divBdr>
        <w:top w:val="none" w:sz="0" w:space="0" w:color="auto"/>
        <w:left w:val="none" w:sz="0" w:space="0" w:color="auto"/>
        <w:bottom w:val="none" w:sz="0" w:space="0" w:color="auto"/>
        <w:right w:val="none" w:sz="0" w:space="0" w:color="auto"/>
      </w:divBdr>
    </w:div>
    <w:div w:id="812059454">
      <w:bodyDiv w:val="1"/>
      <w:marLeft w:val="0"/>
      <w:marRight w:val="0"/>
      <w:marTop w:val="0"/>
      <w:marBottom w:val="0"/>
      <w:divBdr>
        <w:top w:val="none" w:sz="0" w:space="0" w:color="auto"/>
        <w:left w:val="none" w:sz="0" w:space="0" w:color="auto"/>
        <w:bottom w:val="none" w:sz="0" w:space="0" w:color="auto"/>
        <w:right w:val="none" w:sz="0" w:space="0" w:color="auto"/>
      </w:divBdr>
    </w:div>
    <w:div w:id="1163857899">
      <w:bodyDiv w:val="1"/>
      <w:marLeft w:val="0"/>
      <w:marRight w:val="0"/>
      <w:marTop w:val="0"/>
      <w:marBottom w:val="0"/>
      <w:divBdr>
        <w:top w:val="none" w:sz="0" w:space="0" w:color="auto"/>
        <w:left w:val="none" w:sz="0" w:space="0" w:color="auto"/>
        <w:bottom w:val="none" w:sz="0" w:space="0" w:color="auto"/>
        <w:right w:val="none" w:sz="0" w:space="0" w:color="auto"/>
      </w:divBdr>
    </w:div>
    <w:div w:id="1383289933">
      <w:bodyDiv w:val="1"/>
      <w:marLeft w:val="0"/>
      <w:marRight w:val="0"/>
      <w:marTop w:val="0"/>
      <w:marBottom w:val="0"/>
      <w:divBdr>
        <w:top w:val="none" w:sz="0" w:space="0" w:color="auto"/>
        <w:left w:val="none" w:sz="0" w:space="0" w:color="auto"/>
        <w:bottom w:val="none" w:sz="0" w:space="0" w:color="auto"/>
        <w:right w:val="none" w:sz="0" w:space="0" w:color="auto"/>
      </w:divBdr>
    </w:div>
    <w:div w:id="1513448343">
      <w:bodyDiv w:val="1"/>
      <w:marLeft w:val="0"/>
      <w:marRight w:val="0"/>
      <w:marTop w:val="0"/>
      <w:marBottom w:val="0"/>
      <w:divBdr>
        <w:top w:val="none" w:sz="0" w:space="0" w:color="auto"/>
        <w:left w:val="none" w:sz="0" w:space="0" w:color="auto"/>
        <w:bottom w:val="none" w:sz="0" w:space="0" w:color="auto"/>
        <w:right w:val="none" w:sz="0" w:space="0" w:color="auto"/>
      </w:divBdr>
    </w:div>
    <w:div w:id="1897161171">
      <w:bodyDiv w:val="1"/>
      <w:marLeft w:val="0"/>
      <w:marRight w:val="0"/>
      <w:marTop w:val="0"/>
      <w:marBottom w:val="0"/>
      <w:divBdr>
        <w:top w:val="none" w:sz="0" w:space="0" w:color="auto"/>
        <w:left w:val="none" w:sz="0" w:space="0" w:color="auto"/>
        <w:bottom w:val="none" w:sz="0" w:space="0" w:color="auto"/>
        <w:right w:val="none" w:sz="0" w:space="0" w:color="auto"/>
      </w:divBdr>
    </w:div>
    <w:div w:id="1907455178">
      <w:bodyDiv w:val="1"/>
      <w:marLeft w:val="0"/>
      <w:marRight w:val="0"/>
      <w:marTop w:val="0"/>
      <w:marBottom w:val="0"/>
      <w:divBdr>
        <w:top w:val="none" w:sz="0" w:space="0" w:color="auto"/>
        <w:left w:val="none" w:sz="0" w:space="0" w:color="auto"/>
        <w:bottom w:val="none" w:sz="0" w:space="0" w:color="auto"/>
        <w:right w:val="none" w:sz="0" w:space="0" w:color="auto"/>
      </w:divBdr>
    </w:div>
    <w:div w:id="198712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mailto:Halina.Kochalska@big.pl"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mailto:Diana.Borowiecka@big.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charts/_rels/chart1.xml.rels><?xml version="1.0" encoding="UTF-8" standalone="yes"?>
<Relationships xmlns="http://schemas.openxmlformats.org/package/2006/relationships"><Relationship Id="rId3" Type="http://schemas.openxmlformats.org/officeDocument/2006/relationships/oleObject" Target="file:///C:\_OwnCloud\BIGInfoMonitor\badania\ogr&#243;dki_do%20wykresu.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_OwnCloud\BIGInfoMonitor\badania\ogr&#243;dki_do%20wykresu.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_OwnCloud\BIGInfoMonitor\badania\ogr&#243;dki_do%20wykresu.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_OwnCloud\BIGInfoMonitor\badania\ogr&#243;dki_do%20wykresu.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_OwnCloud\BIGInfoMonitor\badania\ogr&#243;dki_do%20wykresu.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100" b="1" cap="small" baseline="0"/>
              <a:t>Łącznie</a:t>
            </a:r>
            <a:endParaRPr lang="en-US" sz="1200" b="1" cap="small" baseline="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7.7518089177423657E-2"/>
          <c:y val="0.24476176175236736"/>
          <c:w val="0.84433008347838678"/>
          <c:h val="0.60205062269480913"/>
        </c:manualLayout>
      </c:layout>
      <c:pieChart>
        <c:varyColors val="1"/>
        <c:ser>
          <c:idx val="3"/>
          <c:order val="3"/>
          <c:tx>
            <c:strRef>
              <c:f>Arkusz1!$F$1</c:f>
              <c:strCache>
                <c:ptCount val="1"/>
                <c:pt idx="0">
                  <c:v>Total</c:v>
                </c:pt>
              </c:strCache>
            </c:strRef>
          </c:tx>
          <c:dPt>
            <c:idx val="0"/>
            <c:bubble3D val="0"/>
            <c:spPr>
              <a:solidFill>
                <a:srgbClr val="00B050"/>
              </a:solidFill>
              <a:ln w="19050">
                <a:solidFill>
                  <a:schemeClr val="lt1"/>
                </a:solidFill>
              </a:ln>
              <a:effectLst/>
            </c:spPr>
            <c:extLst>
              <c:ext xmlns:c16="http://schemas.microsoft.com/office/drawing/2014/chart" uri="{C3380CC4-5D6E-409C-BE32-E72D297353CC}">
                <c16:uniqueId val="{00000001-5511-4760-BB97-0C51B0FE1B7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511-4760-BB97-0C51B0FE1B7C}"/>
              </c:ext>
            </c:extLst>
          </c:dPt>
          <c:dPt>
            <c:idx val="2"/>
            <c:bubble3D val="0"/>
            <c:spPr>
              <a:solidFill>
                <a:srgbClr val="0070C0"/>
              </a:solidFill>
              <a:ln w="19050">
                <a:solidFill>
                  <a:schemeClr val="lt1"/>
                </a:solidFill>
              </a:ln>
              <a:effectLst/>
            </c:spPr>
            <c:extLst>
              <c:ext xmlns:c16="http://schemas.microsoft.com/office/drawing/2014/chart" uri="{C3380CC4-5D6E-409C-BE32-E72D297353CC}">
                <c16:uniqueId val="{00000005-5511-4760-BB97-0C51B0FE1B7C}"/>
              </c:ext>
            </c:extLst>
          </c:dPt>
          <c:dLbls>
            <c:dLbl>
              <c:idx val="0"/>
              <c:layout>
                <c:manualLayout>
                  <c:x val="-0.26498678889543326"/>
                  <c:y val="-0.17213874785318103"/>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26744671959882993"/>
                      <c:h val="0.14880810488676996"/>
                    </c:manualLayout>
                  </c15:layout>
                </c:ext>
                <c:ext xmlns:c16="http://schemas.microsoft.com/office/drawing/2014/chart" uri="{C3380CC4-5D6E-409C-BE32-E72D297353CC}">
                  <c16:uniqueId val="{00000001-5511-4760-BB97-0C51B0FE1B7C}"/>
                </c:ext>
              </c:extLst>
            </c:dLbl>
            <c:dLbl>
              <c:idx val="1"/>
              <c:layout>
                <c:manualLayout>
                  <c:x val="3.1109436644280727E-2"/>
                  <c:y val="1.642445543532332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bg2">
                          <a:lumMod val="25000"/>
                        </a:schemeClr>
                      </a:solidFill>
                      <a:latin typeface="+mn-lt"/>
                      <a:ea typeface="+mn-ea"/>
                      <a:cs typeface="+mn-cs"/>
                    </a:defRPr>
                  </a:pPr>
                  <a:endParaRPr lang="pl-PL"/>
                </a:p>
              </c:txPr>
              <c:dLblPos val="bestFit"/>
              <c:showLegendKey val="0"/>
              <c:showVal val="1"/>
              <c:showCatName val="0"/>
              <c:showSerName val="0"/>
              <c:showPercent val="0"/>
              <c:showBubbleSize val="0"/>
              <c:extLst>
                <c:ext xmlns:c15="http://schemas.microsoft.com/office/drawing/2012/chart" uri="{CE6537A1-D6FC-4f65-9D91-7224C49458BB}">
                  <c15:layout>
                    <c:manualLayout>
                      <c:w val="0.30455495194316751"/>
                      <c:h val="0.13092967818831941"/>
                    </c:manualLayout>
                  </c15:layout>
                </c:ext>
                <c:ext xmlns:c16="http://schemas.microsoft.com/office/drawing/2014/chart" uri="{C3380CC4-5D6E-409C-BE32-E72D297353CC}">
                  <c16:uniqueId val="{00000003-5511-4760-BB97-0C51B0FE1B7C}"/>
                </c:ext>
              </c:extLst>
            </c:dLbl>
            <c:dLbl>
              <c:idx val="2"/>
              <c:layout>
                <c:manualLayout>
                  <c:x val="0.21237730783025294"/>
                  <c:y val="0.16694649610991713"/>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25073129962390306"/>
                      <c:h val="0.14880810488676996"/>
                    </c:manualLayout>
                  </c15:layout>
                </c:ext>
                <c:ext xmlns:c16="http://schemas.microsoft.com/office/drawing/2014/chart" uri="{C3380CC4-5D6E-409C-BE32-E72D297353CC}">
                  <c16:uniqueId val="{00000005-5511-4760-BB97-0C51B0FE1B7C}"/>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Arkusz1!$B$2:$B$4</c:f>
              <c:strCache>
                <c:ptCount val="3"/>
                <c:pt idx="0">
                  <c:v>Nie</c:v>
                </c:pt>
                <c:pt idx="1">
                  <c:v>Trudno powiedzieć</c:v>
                </c:pt>
                <c:pt idx="2">
                  <c:v>Tak</c:v>
                </c:pt>
              </c:strCache>
            </c:strRef>
          </c:cat>
          <c:val>
            <c:numRef>
              <c:f>Arkusz1!$F$2:$F$4</c:f>
              <c:numCache>
                <c:formatCode>0.00%</c:formatCode>
                <c:ptCount val="3"/>
                <c:pt idx="0">
                  <c:v>0.76600000000000001</c:v>
                </c:pt>
                <c:pt idx="1">
                  <c:v>1.6E-2</c:v>
                </c:pt>
                <c:pt idx="2">
                  <c:v>0.218</c:v>
                </c:pt>
              </c:numCache>
            </c:numRef>
          </c:val>
          <c:extLst>
            <c:ext xmlns:c16="http://schemas.microsoft.com/office/drawing/2014/chart" uri="{C3380CC4-5D6E-409C-BE32-E72D297353CC}">
              <c16:uniqueId val="{00000006-5511-4760-BB97-0C51B0FE1B7C}"/>
            </c:ext>
          </c:extLst>
        </c:ser>
        <c:dLbls>
          <c:showLegendKey val="0"/>
          <c:showVal val="0"/>
          <c:showCatName val="0"/>
          <c:showSerName val="0"/>
          <c:showPercent val="0"/>
          <c:showBubbleSize val="0"/>
          <c:showLeaderLines val="1"/>
        </c:dLbls>
        <c:firstSliceAng val="0"/>
        <c:extLst>
          <c:ext xmlns:c15="http://schemas.microsoft.com/office/drawing/2012/chart" uri="{02D57815-91ED-43cb-92C2-25804820EDAC}">
            <c15:filteredPieSeries>
              <c15:ser>
                <c:idx val="0"/>
                <c:order val="0"/>
                <c:tx>
                  <c:strRef>
                    <c:extLst>
                      <c:ext uri="{02D57815-91ED-43cb-92C2-25804820EDAC}">
                        <c15:formulaRef>
                          <c15:sqref>Arkusz1!$C$1</c15:sqref>
                        </c15:formulaRef>
                      </c:ext>
                    </c:extLst>
                    <c:strCache>
                      <c:ptCount val="1"/>
                      <c:pt idx="0">
                        <c:v>Handel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8-5511-4760-BB97-0C51B0FE1B7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A-5511-4760-BB97-0C51B0FE1B7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C-5511-4760-BB97-0C51B0FE1B7C}"/>
                    </c:ext>
                  </c:extLst>
                </c:dPt>
                <c:cat>
                  <c:strRef>
                    <c:extLst>
                      <c:ext uri="{02D57815-91ED-43cb-92C2-25804820EDAC}">
                        <c15:formulaRef>
                          <c15:sqref>Arkusz1!$B$2:$B$4</c15:sqref>
                        </c15:formulaRef>
                      </c:ext>
                    </c:extLst>
                    <c:strCache>
                      <c:ptCount val="3"/>
                      <c:pt idx="0">
                        <c:v>Nie</c:v>
                      </c:pt>
                      <c:pt idx="1">
                        <c:v>Trudno powiedzieć</c:v>
                      </c:pt>
                      <c:pt idx="2">
                        <c:v>Tak</c:v>
                      </c:pt>
                    </c:strCache>
                  </c:strRef>
                </c:cat>
                <c:val>
                  <c:numRef>
                    <c:extLst>
                      <c:ext uri="{02D57815-91ED-43cb-92C2-25804820EDAC}">
                        <c15:formulaRef>
                          <c15:sqref>Arkusz1!$C$2:$C$4</c15:sqref>
                        </c15:formulaRef>
                      </c:ext>
                    </c:extLst>
                    <c:numCache>
                      <c:formatCode>0.00%</c:formatCode>
                      <c:ptCount val="3"/>
                      <c:pt idx="0">
                        <c:v>0.88500000000000001</c:v>
                      </c:pt>
                      <c:pt idx="1">
                        <c:v>0</c:v>
                      </c:pt>
                      <c:pt idx="2">
                        <c:v>0.115</c:v>
                      </c:pt>
                    </c:numCache>
                  </c:numRef>
                </c:val>
                <c:extLst>
                  <c:ext xmlns:c16="http://schemas.microsoft.com/office/drawing/2014/chart" uri="{C3380CC4-5D6E-409C-BE32-E72D297353CC}">
                    <c16:uniqueId val="{0000000D-5511-4760-BB97-0C51B0FE1B7C}"/>
                  </c:ext>
                </c:extLst>
              </c15:ser>
            </c15:filteredPieSeries>
            <c15:filteredPieSeries>
              <c15:ser>
                <c:idx val="1"/>
                <c:order val="1"/>
                <c:tx>
                  <c:strRef>
                    <c:extLst xmlns:c15="http://schemas.microsoft.com/office/drawing/2012/chart">
                      <c:ext xmlns:c15="http://schemas.microsoft.com/office/drawing/2012/chart" uri="{02D57815-91ED-43cb-92C2-25804820EDAC}">
                        <c15:formulaRef>
                          <c15:sqref>Arkusz1!$D$1</c15:sqref>
                        </c15:formulaRef>
                      </c:ext>
                    </c:extLst>
                    <c:strCache>
                      <c:ptCount val="1"/>
                      <c:pt idx="0">
                        <c:v>Produkcja</c:v>
                      </c:pt>
                    </c:strCache>
                  </c:strRef>
                </c:tx>
                <c:dPt>
                  <c:idx val="0"/>
                  <c:bubble3D val="0"/>
                  <c:spPr>
                    <a:solidFill>
                      <a:schemeClr val="accent1"/>
                    </a:solidFill>
                    <a:ln w="19050">
                      <a:solidFill>
                        <a:schemeClr val="lt1"/>
                      </a:solidFill>
                    </a:ln>
                    <a:effectLst/>
                  </c:spPr>
                  <c:extLst xmlns:c15="http://schemas.microsoft.com/office/drawing/2012/chart">
                    <c:ext xmlns:c16="http://schemas.microsoft.com/office/drawing/2014/chart" uri="{C3380CC4-5D6E-409C-BE32-E72D297353CC}">
                      <c16:uniqueId val="{0000000F-5511-4760-BB97-0C51B0FE1B7C}"/>
                    </c:ext>
                  </c:extLst>
                </c:dPt>
                <c:dPt>
                  <c:idx val="1"/>
                  <c:bubble3D val="0"/>
                  <c:spPr>
                    <a:solidFill>
                      <a:schemeClr val="accent2"/>
                    </a:solidFill>
                    <a:ln w="19050">
                      <a:solidFill>
                        <a:schemeClr val="lt1"/>
                      </a:solidFill>
                    </a:ln>
                    <a:effectLst/>
                  </c:spPr>
                  <c:extLst xmlns:c15="http://schemas.microsoft.com/office/drawing/2012/chart">
                    <c:ext xmlns:c16="http://schemas.microsoft.com/office/drawing/2014/chart" uri="{C3380CC4-5D6E-409C-BE32-E72D297353CC}">
                      <c16:uniqueId val="{00000011-5511-4760-BB97-0C51B0FE1B7C}"/>
                    </c:ext>
                  </c:extLst>
                </c:dPt>
                <c:dPt>
                  <c:idx val="2"/>
                  <c:bubble3D val="0"/>
                  <c:spPr>
                    <a:solidFill>
                      <a:schemeClr val="accent3"/>
                    </a:solidFill>
                    <a:ln w="19050">
                      <a:solidFill>
                        <a:schemeClr val="lt1"/>
                      </a:solidFill>
                    </a:ln>
                    <a:effectLst/>
                  </c:spPr>
                  <c:extLst xmlns:c15="http://schemas.microsoft.com/office/drawing/2012/chart">
                    <c:ext xmlns:c16="http://schemas.microsoft.com/office/drawing/2014/chart" uri="{C3380CC4-5D6E-409C-BE32-E72D297353CC}">
                      <c16:uniqueId val="{00000013-5511-4760-BB97-0C51B0FE1B7C}"/>
                    </c:ext>
                  </c:extLst>
                </c:dPt>
                <c:cat>
                  <c:strRef>
                    <c:extLst xmlns:c15="http://schemas.microsoft.com/office/drawing/2012/chart">
                      <c:ext xmlns:c15="http://schemas.microsoft.com/office/drawing/2012/chart" uri="{02D57815-91ED-43cb-92C2-25804820EDAC}">
                        <c15:formulaRef>
                          <c15:sqref>Arkusz1!$B$2:$B$4</c15:sqref>
                        </c15:formulaRef>
                      </c:ext>
                    </c:extLst>
                    <c:strCache>
                      <c:ptCount val="3"/>
                      <c:pt idx="0">
                        <c:v>Nie</c:v>
                      </c:pt>
                      <c:pt idx="1">
                        <c:v>Trudno powiedzieć</c:v>
                      </c:pt>
                      <c:pt idx="2">
                        <c:v>Tak</c:v>
                      </c:pt>
                    </c:strCache>
                  </c:strRef>
                </c:cat>
                <c:val>
                  <c:numRef>
                    <c:extLst xmlns:c15="http://schemas.microsoft.com/office/drawing/2012/chart">
                      <c:ext xmlns:c15="http://schemas.microsoft.com/office/drawing/2012/chart" uri="{02D57815-91ED-43cb-92C2-25804820EDAC}">
                        <c15:formulaRef>
                          <c15:sqref>Arkusz1!$D$2:$D$4</c15:sqref>
                        </c15:formulaRef>
                      </c:ext>
                    </c:extLst>
                    <c:numCache>
                      <c:formatCode>0.00%</c:formatCode>
                      <c:ptCount val="3"/>
                      <c:pt idx="0">
                        <c:v>0.82499999999999996</c:v>
                      </c:pt>
                      <c:pt idx="1">
                        <c:v>2.4E-2</c:v>
                      </c:pt>
                      <c:pt idx="2">
                        <c:v>0.151</c:v>
                      </c:pt>
                    </c:numCache>
                  </c:numRef>
                </c:val>
                <c:extLst xmlns:c15="http://schemas.microsoft.com/office/drawing/2012/chart">
                  <c:ext xmlns:c16="http://schemas.microsoft.com/office/drawing/2014/chart" uri="{C3380CC4-5D6E-409C-BE32-E72D297353CC}">
                    <c16:uniqueId val="{00000014-5511-4760-BB97-0C51B0FE1B7C}"/>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Arkusz1!$E$1</c15:sqref>
                        </c15:formulaRef>
                      </c:ext>
                    </c:extLst>
                    <c:strCache>
                      <c:ptCount val="1"/>
                      <c:pt idx="0">
                        <c:v>Usługi</c:v>
                      </c:pt>
                    </c:strCache>
                  </c:strRef>
                </c:tx>
                <c:dPt>
                  <c:idx val="0"/>
                  <c:bubble3D val="0"/>
                  <c:spPr>
                    <a:solidFill>
                      <a:schemeClr val="accent1"/>
                    </a:solidFill>
                    <a:ln w="19050">
                      <a:solidFill>
                        <a:schemeClr val="lt1"/>
                      </a:solidFill>
                    </a:ln>
                    <a:effectLst/>
                  </c:spPr>
                  <c:extLst xmlns:c15="http://schemas.microsoft.com/office/drawing/2012/chart">
                    <c:ext xmlns:c16="http://schemas.microsoft.com/office/drawing/2014/chart" uri="{C3380CC4-5D6E-409C-BE32-E72D297353CC}">
                      <c16:uniqueId val="{00000016-5511-4760-BB97-0C51B0FE1B7C}"/>
                    </c:ext>
                  </c:extLst>
                </c:dPt>
                <c:dPt>
                  <c:idx val="1"/>
                  <c:bubble3D val="0"/>
                  <c:spPr>
                    <a:solidFill>
                      <a:schemeClr val="accent2"/>
                    </a:solidFill>
                    <a:ln w="19050">
                      <a:solidFill>
                        <a:schemeClr val="lt1"/>
                      </a:solidFill>
                    </a:ln>
                    <a:effectLst/>
                  </c:spPr>
                  <c:extLst xmlns:c15="http://schemas.microsoft.com/office/drawing/2012/chart">
                    <c:ext xmlns:c16="http://schemas.microsoft.com/office/drawing/2014/chart" uri="{C3380CC4-5D6E-409C-BE32-E72D297353CC}">
                      <c16:uniqueId val="{00000018-5511-4760-BB97-0C51B0FE1B7C}"/>
                    </c:ext>
                  </c:extLst>
                </c:dPt>
                <c:dPt>
                  <c:idx val="2"/>
                  <c:bubble3D val="0"/>
                  <c:spPr>
                    <a:solidFill>
                      <a:schemeClr val="accent3"/>
                    </a:solidFill>
                    <a:ln w="19050">
                      <a:solidFill>
                        <a:schemeClr val="lt1"/>
                      </a:solidFill>
                    </a:ln>
                    <a:effectLst/>
                  </c:spPr>
                  <c:extLst xmlns:c15="http://schemas.microsoft.com/office/drawing/2012/chart">
                    <c:ext xmlns:c16="http://schemas.microsoft.com/office/drawing/2014/chart" uri="{C3380CC4-5D6E-409C-BE32-E72D297353CC}">
                      <c16:uniqueId val="{0000001A-5511-4760-BB97-0C51B0FE1B7C}"/>
                    </c:ext>
                  </c:extLst>
                </c:dPt>
                <c:cat>
                  <c:strRef>
                    <c:extLst xmlns:c15="http://schemas.microsoft.com/office/drawing/2012/chart">
                      <c:ext xmlns:c15="http://schemas.microsoft.com/office/drawing/2012/chart" uri="{02D57815-91ED-43cb-92C2-25804820EDAC}">
                        <c15:formulaRef>
                          <c15:sqref>Arkusz1!$B$2:$B$4</c15:sqref>
                        </c15:formulaRef>
                      </c:ext>
                    </c:extLst>
                    <c:strCache>
                      <c:ptCount val="3"/>
                      <c:pt idx="0">
                        <c:v>Nie</c:v>
                      </c:pt>
                      <c:pt idx="1">
                        <c:v>Trudno powiedzieć</c:v>
                      </c:pt>
                      <c:pt idx="2">
                        <c:v>Tak</c:v>
                      </c:pt>
                    </c:strCache>
                  </c:strRef>
                </c:cat>
                <c:val>
                  <c:numRef>
                    <c:extLst xmlns:c15="http://schemas.microsoft.com/office/drawing/2012/chart">
                      <c:ext xmlns:c15="http://schemas.microsoft.com/office/drawing/2012/chart" uri="{02D57815-91ED-43cb-92C2-25804820EDAC}">
                        <c15:formulaRef>
                          <c15:sqref>Arkusz1!$E$2:$E$4</c15:sqref>
                        </c15:formulaRef>
                      </c:ext>
                    </c:extLst>
                    <c:numCache>
                      <c:formatCode>0.00%</c:formatCode>
                      <c:ptCount val="3"/>
                      <c:pt idx="0">
                        <c:v>0.67900000000000005</c:v>
                      </c:pt>
                      <c:pt idx="1">
                        <c:v>0.02</c:v>
                      </c:pt>
                      <c:pt idx="2">
                        <c:v>0.30199999999999999</c:v>
                      </c:pt>
                    </c:numCache>
                  </c:numRef>
                </c:val>
                <c:extLst xmlns:c15="http://schemas.microsoft.com/office/drawing/2012/chart">
                  <c:ext xmlns:c16="http://schemas.microsoft.com/office/drawing/2014/chart" uri="{C3380CC4-5D6E-409C-BE32-E72D297353CC}">
                    <c16:uniqueId val="{0000001B-5511-4760-BB97-0C51B0FE1B7C}"/>
                  </c:ext>
                </c:extLst>
              </c15:ser>
            </c15:filteredPieSeries>
          </c:ext>
        </c:extLst>
      </c:pieChart>
      <c:spPr>
        <a:noFill/>
        <a:ln>
          <a:noFill/>
        </a:ln>
        <a:effectLst/>
      </c:spPr>
    </c:plotArea>
    <c:legend>
      <c:legendPos val="b"/>
      <c:layout>
        <c:manualLayout>
          <c:xMode val="edge"/>
          <c:yMode val="edge"/>
          <c:x val="0"/>
          <c:y val="0.89910326316481004"/>
          <c:w val="0.99471850393700789"/>
          <c:h val="8.2576917468649758E-2"/>
        </c:manualLayout>
      </c:layout>
      <c:overlay val="0"/>
      <c:spPr>
        <a:noFill/>
        <a:ln>
          <a:noFill/>
        </a:ln>
        <a:effectLst/>
      </c:spPr>
      <c:txPr>
        <a:bodyPr rot="0" spcFirstLastPara="1" vertOverflow="ellipsis" vert="horz" wrap="square" anchor="ctr" anchorCtr="0"/>
        <a:lstStyle/>
        <a:p>
          <a:pPr>
            <a:defRPr sz="8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i="0" cap="small" baseline="0"/>
              <a:t>Handel</a:t>
            </a:r>
            <a:endParaRPr lang="en-US" sz="1200" b="1" i="0" cap="small" baseline="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5.3028371453568306E-2"/>
          <c:y val="0.24962976171482737"/>
          <c:w val="0.9120831324655847"/>
          <c:h val="0.59926796993045717"/>
        </c:manualLayout>
      </c:layout>
      <c:pieChart>
        <c:varyColors val="1"/>
        <c:ser>
          <c:idx val="0"/>
          <c:order val="0"/>
          <c:tx>
            <c:strRef>
              <c:f>Arkusz1!$C$1</c:f>
              <c:strCache>
                <c:ptCount val="1"/>
                <c:pt idx="0">
                  <c:v>Handel</c:v>
                </c:pt>
              </c:strCache>
              <c:extLst xmlns:c15="http://schemas.microsoft.com/office/drawing/2012/chart"/>
            </c:strRef>
          </c:tx>
          <c:dPt>
            <c:idx val="0"/>
            <c:bubble3D val="0"/>
            <c:spPr>
              <a:solidFill>
                <a:srgbClr val="00B050"/>
              </a:solidFill>
              <a:ln w="19050">
                <a:solidFill>
                  <a:schemeClr val="lt1"/>
                </a:solidFill>
              </a:ln>
              <a:effectLst/>
            </c:spPr>
            <c:extLst>
              <c:ext xmlns:c16="http://schemas.microsoft.com/office/drawing/2014/chart" uri="{C3380CC4-5D6E-409C-BE32-E72D297353CC}">
                <c16:uniqueId val="{00000008-4984-4009-9B18-3717D992F03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A-4984-4009-9B18-3717D992F03E}"/>
              </c:ext>
            </c:extLst>
          </c:dPt>
          <c:dPt>
            <c:idx val="2"/>
            <c:bubble3D val="0"/>
            <c:spPr>
              <a:solidFill>
                <a:srgbClr val="0070C0"/>
              </a:solidFill>
              <a:ln w="19050">
                <a:solidFill>
                  <a:schemeClr val="lt1"/>
                </a:solidFill>
              </a:ln>
              <a:effectLst/>
            </c:spPr>
            <c:extLst>
              <c:ext xmlns:c16="http://schemas.microsoft.com/office/drawing/2014/chart" uri="{C3380CC4-5D6E-409C-BE32-E72D297353CC}">
                <c16:uniqueId val="{0000000C-4984-4009-9B18-3717D992F03E}"/>
              </c:ext>
            </c:extLst>
          </c:dPt>
          <c:dLbls>
            <c:dLbl>
              <c:idx val="0"/>
              <c:layout>
                <c:manualLayout>
                  <c:x val="-0.28325137929187422"/>
                  <c:y val="-0.24191435248186349"/>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33560090702947842"/>
                      <c:h val="0.14880810488676996"/>
                    </c:manualLayout>
                  </c15:layout>
                </c:ext>
                <c:ext xmlns:c16="http://schemas.microsoft.com/office/drawing/2014/chart" uri="{C3380CC4-5D6E-409C-BE32-E72D297353CC}">
                  <c16:uniqueId val="{00000008-4984-4009-9B18-3717D992F03E}"/>
                </c:ext>
              </c:extLst>
            </c:dLbl>
            <c:dLbl>
              <c:idx val="1"/>
              <c:delete val="1"/>
              <c:extLst>
                <c:ext xmlns:c15="http://schemas.microsoft.com/office/drawing/2012/chart" uri="{CE6537A1-D6FC-4f65-9D91-7224C49458BB}"/>
                <c:ext xmlns:c16="http://schemas.microsoft.com/office/drawing/2014/chart" uri="{C3380CC4-5D6E-409C-BE32-E72D297353CC}">
                  <c16:uniqueId val="{0000000A-4984-4009-9B18-3717D992F03E}"/>
                </c:ext>
              </c:extLst>
            </c:dLbl>
            <c:dLbl>
              <c:idx val="2"/>
              <c:dLblPos val="inEnd"/>
              <c:showLegendKey val="0"/>
              <c:showVal val="1"/>
              <c:showCatName val="0"/>
              <c:showSerName val="0"/>
              <c:showPercent val="0"/>
              <c:showBubbleSize val="0"/>
              <c:extLst>
                <c:ext xmlns:c15="http://schemas.microsoft.com/office/drawing/2012/chart" uri="{CE6537A1-D6FC-4f65-9D91-7224C49458BB}">
                  <c15:layout>
                    <c:manualLayout>
                      <c:w val="0.32653061224489793"/>
                      <c:h val="0.14880810488676996"/>
                    </c:manualLayout>
                  </c15:layout>
                </c:ext>
                <c:ext xmlns:c16="http://schemas.microsoft.com/office/drawing/2014/chart" uri="{C3380CC4-5D6E-409C-BE32-E72D297353CC}">
                  <c16:uniqueId val="{0000000C-4984-4009-9B18-3717D992F03E}"/>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Arkusz1!$B$2:$B$4</c:f>
              <c:strCache>
                <c:ptCount val="3"/>
                <c:pt idx="0">
                  <c:v>Nie</c:v>
                </c:pt>
                <c:pt idx="1">
                  <c:v>Trudno powiedzieć</c:v>
                </c:pt>
                <c:pt idx="2">
                  <c:v>Tak</c:v>
                </c:pt>
              </c:strCache>
              <c:extLst xmlns:c15="http://schemas.microsoft.com/office/drawing/2012/chart"/>
            </c:strRef>
          </c:cat>
          <c:val>
            <c:numRef>
              <c:f>Arkusz1!$C$2:$C$4</c:f>
              <c:numCache>
                <c:formatCode>0.00%</c:formatCode>
                <c:ptCount val="3"/>
                <c:pt idx="0">
                  <c:v>0.88500000000000001</c:v>
                </c:pt>
                <c:pt idx="1">
                  <c:v>0</c:v>
                </c:pt>
                <c:pt idx="2">
                  <c:v>0.115</c:v>
                </c:pt>
              </c:numCache>
              <c:extLst xmlns:c15="http://schemas.microsoft.com/office/drawing/2012/chart"/>
            </c:numRef>
          </c:val>
          <c:extLst>
            <c:ext xmlns:c16="http://schemas.microsoft.com/office/drawing/2014/chart" uri="{C3380CC4-5D6E-409C-BE32-E72D297353CC}">
              <c16:uniqueId val="{0000000D-4984-4009-9B18-3717D992F03E}"/>
            </c:ext>
          </c:extLst>
        </c:ser>
        <c:dLbls>
          <c:showLegendKey val="0"/>
          <c:showVal val="0"/>
          <c:showCatName val="0"/>
          <c:showSerName val="0"/>
          <c:showPercent val="0"/>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Arkusz1!$D$1</c15:sqref>
                        </c15:formulaRef>
                      </c:ext>
                    </c:extLst>
                    <c:strCache>
                      <c:ptCount val="1"/>
                      <c:pt idx="0">
                        <c:v>Produkcja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F-4984-4009-9B18-3717D992F03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1-4984-4009-9B18-3717D992F03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3-4984-4009-9B18-3717D992F03E}"/>
                    </c:ext>
                  </c:extLst>
                </c:dPt>
                <c:cat>
                  <c:strRef>
                    <c:extLst>
                      <c:ext uri="{02D57815-91ED-43cb-92C2-25804820EDAC}">
                        <c15:formulaRef>
                          <c15:sqref>Arkusz1!$B$2:$B$4</c15:sqref>
                        </c15:formulaRef>
                      </c:ext>
                    </c:extLst>
                    <c:strCache>
                      <c:ptCount val="3"/>
                      <c:pt idx="0">
                        <c:v>Nie</c:v>
                      </c:pt>
                      <c:pt idx="1">
                        <c:v>Trudno powiedzieć</c:v>
                      </c:pt>
                      <c:pt idx="2">
                        <c:v>Tak</c:v>
                      </c:pt>
                    </c:strCache>
                  </c:strRef>
                </c:cat>
                <c:val>
                  <c:numRef>
                    <c:extLst>
                      <c:ext uri="{02D57815-91ED-43cb-92C2-25804820EDAC}">
                        <c15:formulaRef>
                          <c15:sqref>Arkusz1!$D$2:$D$4</c15:sqref>
                        </c15:formulaRef>
                      </c:ext>
                    </c:extLst>
                    <c:numCache>
                      <c:formatCode>0.00%</c:formatCode>
                      <c:ptCount val="3"/>
                      <c:pt idx="0">
                        <c:v>0.82499999999999996</c:v>
                      </c:pt>
                      <c:pt idx="1">
                        <c:v>2.4E-2</c:v>
                      </c:pt>
                      <c:pt idx="2">
                        <c:v>0.151</c:v>
                      </c:pt>
                    </c:numCache>
                  </c:numRef>
                </c:val>
                <c:extLst>
                  <c:ext xmlns:c16="http://schemas.microsoft.com/office/drawing/2014/chart" uri="{C3380CC4-5D6E-409C-BE32-E72D297353CC}">
                    <c16:uniqueId val="{00000014-4984-4009-9B18-3717D992F03E}"/>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Arkusz1!$E$1</c15:sqref>
                        </c15:formulaRef>
                      </c:ext>
                    </c:extLst>
                    <c:strCache>
                      <c:ptCount val="1"/>
                      <c:pt idx="0">
                        <c:v>Usługi</c:v>
                      </c:pt>
                    </c:strCache>
                  </c:strRef>
                </c:tx>
                <c:dPt>
                  <c:idx val="0"/>
                  <c:bubble3D val="0"/>
                  <c:spPr>
                    <a:solidFill>
                      <a:schemeClr val="accent1"/>
                    </a:solidFill>
                    <a:ln w="19050">
                      <a:solidFill>
                        <a:schemeClr val="lt1"/>
                      </a:solidFill>
                    </a:ln>
                    <a:effectLst/>
                  </c:spPr>
                  <c:extLst xmlns:c15="http://schemas.microsoft.com/office/drawing/2012/chart">
                    <c:ext xmlns:c16="http://schemas.microsoft.com/office/drawing/2014/chart" uri="{C3380CC4-5D6E-409C-BE32-E72D297353CC}">
                      <c16:uniqueId val="{00000016-4984-4009-9B18-3717D992F03E}"/>
                    </c:ext>
                  </c:extLst>
                </c:dPt>
                <c:dPt>
                  <c:idx val="1"/>
                  <c:bubble3D val="0"/>
                  <c:spPr>
                    <a:solidFill>
                      <a:schemeClr val="accent2"/>
                    </a:solidFill>
                    <a:ln w="19050">
                      <a:solidFill>
                        <a:schemeClr val="lt1"/>
                      </a:solidFill>
                    </a:ln>
                    <a:effectLst/>
                  </c:spPr>
                  <c:extLst xmlns:c15="http://schemas.microsoft.com/office/drawing/2012/chart">
                    <c:ext xmlns:c16="http://schemas.microsoft.com/office/drawing/2014/chart" uri="{C3380CC4-5D6E-409C-BE32-E72D297353CC}">
                      <c16:uniqueId val="{00000018-4984-4009-9B18-3717D992F03E}"/>
                    </c:ext>
                  </c:extLst>
                </c:dPt>
                <c:dPt>
                  <c:idx val="2"/>
                  <c:bubble3D val="0"/>
                  <c:spPr>
                    <a:solidFill>
                      <a:schemeClr val="accent3"/>
                    </a:solidFill>
                    <a:ln w="19050">
                      <a:solidFill>
                        <a:schemeClr val="lt1"/>
                      </a:solidFill>
                    </a:ln>
                    <a:effectLst/>
                  </c:spPr>
                  <c:extLst xmlns:c15="http://schemas.microsoft.com/office/drawing/2012/chart">
                    <c:ext xmlns:c16="http://schemas.microsoft.com/office/drawing/2014/chart" uri="{C3380CC4-5D6E-409C-BE32-E72D297353CC}">
                      <c16:uniqueId val="{0000001A-4984-4009-9B18-3717D992F03E}"/>
                    </c:ext>
                  </c:extLst>
                </c:dPt>
                <c:cat>
                  <c:strRef>
                    <c:extLst xmlns:c15="http://schemas.microsoft.com/office/drawing/2012/chart">
                      <c:ext xmlns:c15="http://schemas.microsoft.com/office/drawing/2012/chart" uri="{02D57815-91ED-43cb-92C2-25804820EDAC}">
                        <c15:formulaRef>
                          <c15:sqref>Arkusz1!$B$2:$B$4</c15:sqref>
                        </c15:formulaRef>
                      </c:ext>
                    </c:extLst>
                    <c:strCache>
                      <c:ptCount val="3"/>
                      <c:pt idx="0">
                        <c:v>Nie</c:v>
                      </c:pt>
                      <c:pt idx="1">
                        <c:v>Trudno powiedzieć</c:v>
                      </c:pt>
                      <c:pt idx="2">
                        <c:v>Tak</c:v>
                      </c:pt>
                    </c:strCache>
                  </c:strRef>
                </c:cat>
                <c:val>
                  <c:numRef>
                    <c:extLst xmlns:c15="http://schemas.microsoft.com/office/drawing/2012/chart">
                      <c:ext xmlns:c15="http://schemas.microsoft.com/office/drawing/2012/chart" uri="{02D57815-91ED-43cb-92C2-25804820EDAC}">
                        <c15:formulaRef>
                          <c15:sqref>Arkusz1!$E$2:$E$4</c15:sqref>
                        </c15:formulaRef>
                      </c:ext>
                    </c:extLst>
                    <c:numCache>
                      <c:formatCode>0.00%</c:formatCode>
                      <c:ptCount val="3"/>
                      <c:pt idx="0">
                        <c:v>0.67900000000000005</c:v>
                      </c:pt>
                      <c:pt idx="1">
                        <c:v>0.02</c:v>
                      </c:pt>
                      <c:pt idx="2">
                        <c:v>0.30199999999999999</c:v>
                      </c:pt>
                    </c:numCache>
                  </c:numRef>
                </c:val>
                <c:extLst xmlns:c15="http://schemas.microsoft.com/office/drawing/2012/chart">
                  <c:ext xmlns:c16="http://schemas.microsoft.com/office/drawing/2014/chart" uri="{C3380CC4-5D6E-409C-BE32-E72D297353CC}">
                    <c16:uniqueId val="{0000001B-4984-4009-9B18-3717D992F03E}"/>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Arkusz1!$F$1</c15:sqref>
                        </c15:formulaRef>
                      </c:ext>
                    </c:extLst>
                    <c:strCache>
                      <c:ptCount val="1"/>
                      <c:pt idx="0">
                        <c:v>Total</c:v>
                      </c:pt>
                    </c:strCache>
                  </c:strRef>
                </c:tx>
                <c:dPt>
                  <c:idx val="0"/>
                  <c:bubble3D val="0"/>
                  <c:spPr>
                    <a:solidFill>
                      <a:schemeClr val="accent1"/>
                    </a:solidFill>
                    <a:ln w="19050">
                      <a:solidFill>
                        <a:schemeClr val="lt1"/>
                      </a:solidFill>
                    </a:ln>
                    <a:effectLst/>
                  </c:spPr>
                  <c:extLst xmlns:c15="http://schemas.microsoft.com/office/drawing/2012/chart">
                    <c:ext xmlns:c16="http://schemas.microsoft.com/office/drawing/2014/chart" uri="{C3380CC4-5D6E-409C-BE32-E72D297353CC}">
                      <c16:uniqueId val="{00000001-4984-4009-9B18-3717D992F03E}"/>
                    </c:ext>
                  </c:extLst>
                </c:dPt>
                <c:dPt>
                  <c:idx val="1"/>
                  <c:bubble3D val="0"/>
                  <c:spPr>
                    <a:solidFill>
                      <a:schemeClr val="accent2"/>
                    </a:solidFill>
                    <a:ln w="19050">
                      <a:solidFill>
                        <a:schemeClr val="lt1"/>
                      </a:solidFill>
                    </a:ln>
                    <a:effectLst/>
                  </c:spPr>
                  <c:extLst xmlns:c15="http://schemas.microsoft.com/office/drawing/2012/chart">
                    <c:ext xmlns:c16="http://schemas.microsoft.com/office/drawing/2014/chart" uri="{C3380CC4-5D6E-409C-BE32-E72D297353CC}">
                      <c16:uniqueId val="{00000003-4984-4009-9B18-3717D992F03E}"/>
                    </c:ext>
                  </c:extLst>
                </c:dPt>
                <c:dPt>
                  <c:idx val="2"/>
                  <c:bubble3D val="0"/>
                  <c:spPr>
                    <a:solidFill>
                      <a:schemeClr val="accent3"/>
                    </a:solidFill>
                    <a:ln w="19050">
                      <a:solidFill>
                        <a:schemeClr val="lt1"/>
                      </a:solidFill>
                    </a:ln>
                    <a:effectLst/>
                  </c:spPr>
                  <c:extLst xmlns:c15="http://schemas.microsoft.com/office/drawing/2012/chart">
                    <c:ext xmlns:c16="http://schemas.microsoft.com/office/drawing/2014/chart" uri="{C3380CC4-5D6E-409C-BE32-E72D297353CC}">
                      <c16:uniqueId val="{00000005-4984-4009-9B18-3717D992F03E}"/>
                    </c:ext>
                  </c:extLst>
                </c:dPt>
                <c:cat>
                  <c:strRef>
                    <c:extLst xmlns:c15="http://schemas.microsoft.com/office/drawing/2012/chart">
                      <c:ext xmlns:c15="http://schemas.microsoft.com/office/drawing/2012/chart" uri="{02D57815-91ED-43cb-92C2-25804820EDAC}">
                        <c15:formulaRef>
                          <c15:sqref>Arkusz1!$B$2:$B$4</c15:sqref>
                        </c15:formulaRef>
                      </c:ext>
                    </c:extLst>
                    <c:strCache>
                      <c:ptCount val="3"/>
                      <c:pt idx="0">
                        <c:v>Nie</c:v>
                      </c:pt>
                      <c:pt idx="1">
                        <c:v>Trudno powiedzieć</c:v>
                      </c:pt>
                      <c:pt idx="2">
                        <c:v>Tak</c:v>
                      </c:pt>
                    </c:strCache>
                  </c:strRef>
                </c:cat>
                <c:val>
                  <c:numRef>
                    <c:extLst xmlns:c15="http://schemas.microsoft.com/office/drawing/2012/chart">
                      <c:ext xmlns:c15="http://schemas.microsoft.com/office/drawing/2012/chart" uri="{02D57815-91ED-43cb-92C2-25804820EDAC}">
                        <c15:formulaRef>
                          <c15:sqref>Arkusz1!$F$2:$F$4</c15:sqref>
                        </c15:formulaRef>
                      </c:ext>
                    </c:extLst>
                    <c:numCache>
                      <c:formatCode>0.00%</c:formatCode>
                      <c:ptCount val="3"/>
                      <c:pt idx="0">
                        <c:v>0.76600000000000001</c:v>
                      </c:pt>
                      <c:pt idx="1">
                        <c:v>1.6E-2</c:v>
                      </c:pt>
                      <c:pt idx="2">
                        <c:v>0.218</c:v>
                      </c:pt>
                    </c:numCache>
                  </c:numRef>
                </c:val>
                <c:extLst xmlns:c15="http://schemas.microsoft.com/office/drawing/2012/chart">
                  <c:ext xmlns:c16="http://schemas.microsoft.com/office/drawing/2014/chart" uri="{C3380CC4-5D6E-409C-BE32-E72D297353CC}">
                    <c16:uniqueId val="{00000006-4984-4009-9B18-3717D992F03E}"/>
                  </c:ext>
                </c:extLst>
              </c15:ser>
            </c15:filteredPieSeries>
          </c:ext>
        </c:extLst>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b="1" i="0" cap="small" baseline="0"/>
              <a:t>Produkcja</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7.0705771870259337E-2"/>
          <c:y val="0.25946758889942095"/>
          <c:w val="0.9044600158925088"/>
          <c:h val="0.58752170281456173"/>
        </c:manualLayout>
      </c:layout>
      <c:pieChart>
        <c:varyColors val="1"/>
        <c:ser>
          <c:idx val="1"/>
          <c:order val="1"/>
          <c:tx>
            <c:strRef>
              <c:f>Arkusz1!$D$1</c:f>
              <c:strCache>
                <c:ptCount val="1"/>
                <c:pt idx="0">
                  <c:v>Produkcja</c:v>
                </c:pt>
              </c:strCache>
              <c:extLst xmlns:c15="http://schemas.microsoft.com/office/drawing/2012/chart"/>
            </c:strRef>
          </c:tx>
          <c:dPt>
            <c:idx val="0"/>
            <c:bubble3D val="0"/>
            <c:spPr>
              <a:solidFill>
                <a:srgbClr val="00B050"/>
              </a:solidFill>
              <a:ln w="19050">
                <a:solidFill>
                  <a:schemeClr val="lt1"/>
                </a:solidFill>
              </a:ln>
              <a:effectLst/>
            </c:spPr>
            <c:extLst>
              <c:ext xmlns:c16="http://schemas.microsoft.com/office/drawing/2014/chart" uri="{C3380CC4-5D6E-409C-BE32-E72D297353CC}">
                <c16:uniqueId val="{0000000F-D0C8-4038-8DFF-3E876972DCC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1-D0C8-4038-8DFF-3E876972DCC0}"/>
              </c:ext>
            </c:extLst>
          </c:dPt>
          <c:dPt>
            <c:idx val="2"/>
            <c:bubble3D val="0"/>
            <c:spPr>
              <a:solidFill>
                <a:srgbClr val="0070C0"/>
              </a:solidFill>
              <a:ln w="19050">
                <a:solidFill>
                  <a:schemeClr val="lt1"/>
                </a:solidFill>
              </a:ln>
              <a:effectLst/>
            </c:spPr>
            <c:extLst>
              <c:ext xmlns:c16="http://schemas.microsoft.com/office/drawing/2014/chart" uri="{C3380CC4-5D6E-409C-BE32-E72D297353CC}">
                <c16:uniqueId val="{00000013-D0C8-4038-8DFF-3E876972DCC0}"/>
              </c:ext>
            </c:extLst>
          </c:dPt>
          <c:dLbls>
            <c:dLbl>
              <c:idx val="0"/>
              <c:layout>
                <c:manualLayout>
                  <c:x val="-0.21677815502419995"/>
                  <c:y val="-0.2336578979475003"/>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27926605504587154"/>
                      <c:h val="0.14880810488676996"/>
                    </c:manualLayout>
                  </c15:layout>
                </c:ext>
                <c:ext xmlns:c16="http://schemas.microsoft.com/office/drawing/2014/chart" uri="{C3380CC4-5D6E-409C-BE32-E72D297353CC}">
                  <c16:uniqueId val="{0000000F-D0C8-4038-8DFF-3E876972DCC0}"/>
                </c:ext>
              </c:extLst>
            </c:dLbl>
            <c:dLbl>
              <c:idx val="1"/>
              <c:layout>
                <c:manualLayout>
                  <c:x val="0.11422054467962146"/>
                  <c:y val="8.7098439274351735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2">
                          <a:lumMod val="25000"/>
                        </a:schemeClr>
                      </a:solidFill>
                      <a:latin typeface="+mn-lt"/>
                      <a:ea typeface="+mn-ea"/>
                      <a:cs typeface="+mn-cs"/>
                    </a:defRPr>
                  </a:pPr>
                  <a:endParaRPr lang="pl-PL"/>
                </a:p>
              </c:txPr>
              <c:dLblPos val="bestFit"/>
              <c:showLegendKey val="0"/>
              <c:showVal val="1"/>
              <c:showCatName val="0"/>
              <c:showSerName val="0"/>
              <c:showPercent val="0"/>
              <c:showBubbleSize val="0"/>
              <c:extLst>
                <c:ext xmlns:c15="http://schemas.microsoft.com/office/drawing/2012/chart" uri="{CE6537A1-D6FC-4f65-9D91-7224C49458BB}">
                  <c15:layout>
                    <c:manualLayout>
                      <c:w val="0.24256880733944949"/>
                      <c:h val="0.14880810488676996"/>
                    </c:manualLayout>
                  </c15:layout>
                </c:ext>
                <c:ext xmlns:c16="http://schemas.microsoft.com/office/drawing/2014/chart" uri="{C3380CC4-5D6E-409C-BE32-E72D297353CC}">
                  <c16:uniqueId val="{00000011-D0C8-4038-8DFF-3E876972DCC0}"/>
                </c:ext>
              </c:extLst>
            </c:dLbl>
            <c:dLbl>
              <c:idx val="2"/>
              <c:dLblPos val="inEnd"/>
              <c:showLegendKey val="0"/>
              <c:showVal val="1"/>
              <c:showCatName val="0"/>
              <c:showSerName val="0"/>
              <c:showPercent val="0"/>
              <c:showBubbleSize val="0"/>
              <c:extLst>
                <c:ext xmlns:c15="http://schemas.microsoft.com/office/drawing/2012/chart" uri="{CE6537A1-D6FC-4f65-9D91-7224C49458BB}">
                  <c15:layout>
                    <c:manualLayout>
                      <c:w val="0.27926605504587154"/>
                      <c:h val="0.14880810488676996"/>
                    </c:manualLayout>
                  </c15:layout>
                </c:ext>
                <c:ext xmlns:c16="http://schemas.microsoft.com/office/drawing/2014/chart" uri="{C3380CC4-5D6E-409C-BE32-E72D297353CC}">
                  <c16:uniqueId val="{00000013-D0C8-4038-8DFF-3E876972DCC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Arkusz1!$B$2:$B$4</c:f>
              <c:strCache>
                <c:ptCount val="3"/>
                <c:pt idx="0">
                  <c:v>Nie</c:v>
                </c:pt>
                <c:pt idx="1">
                  <c:v>Trudno powiedzieć</c:v>
                </c:pt>
                <c:pt idx="2">
                  <c:v>Tak</c:v>
                </c:pt>
              </c:strCache>
              <c:extLst xmlns:c15="http://schemas.microsoft.com/office/drawing/2012/chart"/>
            </c:strRef>
          </c:cat>
          <c:val>
            <c:numRef>
              <c:f>Arkusz1!$D$2:$D$4</c:f>
              <c:numCache>
                <c:formatCode>0.00%</c:formatCode>
                <c:ptCount val="3"/>
                <c:pt idx="0">
                  <c:v>0.82499999999999996</c:v>
                </c:pt>
                <c:pt idx="1">
                  <c:v>2.4E-2</c:v>
                </c:pt>
                <c:pt idx="2">
                  <c:v>0.151</c:v>
                </c:pt>
              </c:numCache>
              <c:extLst xmlns:c15="http://schemas.microsoft.com/office/drawing/2012/chart"/>
            </c:numRef>
          </c:val>
          <c:extLst>
            <c:ext xmlns:c16="http://schemas.microsoft.com/office/drawing/2014/chart" uri="{C3380CC4-5D6E-409C-BE32-E72D297353CC}">
              <c16:uniqueId val="{00000014-D0C8-4038-8DFF-3E876972DCC0}"/>
            </c:ext>
          </c:extLst>
        </c:ser>
        <c:dLbls>
          <c:dLblPos val="bestFit"/>
          <c:showLegendKey val="0"/>
          <c:showVal val="1"/>
          <c:showCatName val="0"/>
          <c:showSerName val="0"/>
          <c:showPercent val="0"/>
          <c:showBubbleSize val="0"/>
          <c:showLeaderLines val="1"/>
        </c:dLbls>
        <c:firstSliceAng val="0"/>
        <c:extLst>
          <c:ext xmlns:c15="http://schemas.microsoft.com/office/drawing/2012/chart" uri="{02D57815-91ED-43cb-92C2-25804820EDAC}">
            <c15:filteredPieSeries>
              <c15:ser>
                <c:idx val="0"/>
                <c:order val="0"/>
                <c:tx>
                  <c:strRef>
                    <c:extLst>
                      <c:ext uri="{02D57815-91ED-43cb-92C2-25804820EDAC}">
                        <c15:formulaRef>
                          <c15:sqref>Arkusz1!$C$1</c15:sqref>
                        </c15:formulaRef>
                      </c:ext>
                    </c:extLst>
                    <c:strCache>
                      <c:ptCount val="1"/>
                      <c:pt idx="0">
                        <c:v>Handel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8-D0C8-4038-8DFF-3E876972DCC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A-D0C8-4038-8DFF-3E876972DCC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C-D0C8-4038-8DFF-3E876972DCC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Arkusz1!$B$2:$B$4</c15:sqref>
                        </c15:formulaRef>
                      </c:ext>
                    </c:extLst>
                    <c:strCache>
                      <c:ptCount val="3"/>
                      <c:pt idx="0">
                        <c:v>Nie</c:v>
                      </c:pt>
                      <c:pt idx="1">
                        <c:v>Trudno powiedzieć</c:v>
                      </c:pt>
                      <c:pt idx="2">
                        <c:v>Tak</c:v>
                      </c:pt>
                    </c:strCache>
                  </c:strRef>
                </c:cat>
                <c:val>
                  <c:numRef>
                    <c:extLst>
                      <c:ext uri="{02D57815-91ED-43cb-92C2-25804820EDAC}">
                        <c15:formulaRef>
                          <c15:sqref>Arkusz1!$C$2:$C$4</c15:sqref>
                        </c15:formulaRef>
                      </c:ext>
                    </c:extLst>
                    <c:numCache>
                      <c:formatCode>0.00%</c:formatCode>
                      <c:ptCount val="3"/>
                      <c:pt idx="0">
                        <c:v>0.88500000000000001</c:v>
                      </c:pt>
                      <c:pt idx="1">
                        <c:v>0</c:v>
                      </c:pt>
                      <c:pt idx="2">
                        <c:v>0.115</c:v>
                      </c:pt>
                    </c:numCache>
                  </c:numRef>
                </c:val>
                <c:extLst>
                  <c:ext xmlns:c16="http://schemas.microsoft.com/office/drawing/2014/chart" uri="{C3380CC4-5D6E-409C-BE32-E72D297353CC}">
                    <c16:uniqueId val="{0000000D-D0C8-4038-8DFF-3E876972DCC0}"/>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Arkusz1!$E$1</c15:sqref>
                        </c15:formulaRef>
                      </c:ext>
                    </c:extLst>
                    <c:strCache>
                      <c:ptCount val="1"/>
                      <c:pt idx="0">
                        <c:v>Usługi</c:v>
                      </c:pt>
                    </c:strCache>
                  </c:strRef>
                </c:tx>
                <c:dPt>
                  <c:idx val="0"/>
                  <c:bubble3D val="0"/>
                  <c:spPr>
                    <a:solidFill>
                      <a:schemeClr val="accent1"/>
                    </a:solidFill>
                    <a:ln w="19050">
                      <a:solidFill>
                        <a:schemeClr val="lt1"/>
                      </a:solidFill>
                    </a:ln>
                    <a:effectLst/>
                  </c:spPr>
                  <c:extLst xmlns:c15="http://schemas.microsoft.com/office/drawing/2012/chart">
                    <c:ext xmlns:c16="http://schemas.microsoft.com/office/drawing/2014/chart" uri="{C3380CC4-5D6E-409C-BE32-E72D297353CC}">
                      <c16:uniqueId val="{00000016-D0C8-4038-8DFF-3E876972DCC0}"/>
                    </c:ext>
                  </c:extLst>
                </c:dPt>
                <c:dPt>
                  <c:idx val="1"/>
                  <c:bubble3D val="0"/>
                  <c:spPr>
                    <a:solidFill>
                      <a:schemeClr val="accent2"/>
                    </a:solidFill>
                    <a:ln w="19050">
                      <a:solidFill>
                        <a:schemeClr val="lt1"/>
                      </a:solidFill>
                    </a:ln>
                    <a:effectLst/>
                  </c:spPr>
                  <c:extLst xmlns:c15="http://schemas.microsoft.com/office/drawing/2012/chart">
                    <c:ext xmlns:c16="http://schemas.microsoft.com/office/drawing/2014/chart" uri="{C3380CC4-5D6E-409C-BE32-E72D297353CC}">
                      <c16:uniqueId val="{00000018-D0C8-4038-8DFF-3E876972DCC0}"/>
                    </c:ext>
                  </c:extLst>
                </c:dPt>
                <c:dPt>
                  <c:idx val="2"/>
                  <c:bubble3D val="0"/>
                  <c:spPr>
                    <a:solidFill>
                      <a:schemeClr val="accent3"/>
                    </a:solidFill>
                    <a:ln w="19050">
                      <a:solidFill>
                        <a:schemeClr val="lt1"/>
                      </a:solidFill>
                    </a:ln>
                    <a:effectLst/>
                  </c:spPr>
                  <c:extLst xmlns:c15="http://schemas.microsoft.com/office/drawing/2012/chart">
                    <c:ext xmlns:c16="http://schemas.microsoft.com/office/drawing/2014/chart" uri="{C3380CC4-5D6E-409C-BE32-E72D297353CC}">
                      <c16:uniqueId val="{0000001A-D0C8-4038-8DFF-3E876972DCC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Arkusz1!$B$2:$B$4</c15:sqref>
                        </c15:formulaRef>
                      </c:ext>
                    </c:extLst>
                    <c:strCache>
                      <c:ptCount val="3"/>
                      <c:pt idx="0">
                        <c:v>Nie</c:v>
                      </c:pt>
                      <c:pt idx="1">
                        <c:v>Trudno powiedzieć</c:v>
                      </c:pt>
                      <c:pt idx="2">
                        <c:v>Tak</c:v>
                      </c:pt>
                    </c:strCache>
                  </c:strRef>
                </c:cat>
                <c:val>
                  <c:numRef>
                    <c:extLst xmlns:c15="http://schemas.microsoft.com/office/drawing/2012/chart">
                      <c:ext xmlns:c15="http://schemas.microsoft.com/office/drawing/2012/chart" uri="{02D57815-91ED-43cb-92C2-25804820EDAC}">
                        <c15:formulaRef>
                          <c15:sqref>Arkusz1!$E$2:$E$4</c15:sqref>
                        </c15:formulaRef>
                      </c:ext>
                    </c:extLst>
                    <c:numCache>
                      <c:formatCode>0.00%</c:formatCode>
                      <c:ptCount val="3"/>
                      <c:pt idx="0">
                        <c:v>0.67900000000000005</c:v>
                      </c:pt>
                      <c:pt idx="1">
                        <c:v>0.02</c:v>
                      </c:pt>
                      <c:pt idx="2">
                        <c:v>0.30199999999999999</c:v>
                      </c:pt>
                    </c:numCache>
                  </c:numRef>
                </c:val>
                <c:extLst xmlns:c15="http://schemas.microsoft.com/office/drawing/2012/chart">
                  <c:ext xmlns:c16="http://schemas.microsoft.com/office/drawing/2014/chart" uri="{C3380CC4-5D6E-409C-BE32-E72D297353CC}">
                    <c16:uniqueId val="{0000001B-D0C8-4038-8DFF-3E876972DCC0}"/>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Arkusz1!$F$1</c15:sqref>
                        </c15:formulaRef>
                      </c:ext>
                    </c:extLst>
                    <c:strCache>
                      <c:ptCount val="1"/>
                      <c:pt idx="0">
                        <c:v>Total</c:v>
                      </c:pt>
                    </c:strCache>
                  </c:strRef>
                </c:tx>
                <c:dPt>
                  <c:idx val="0"/>
                  <c:bubble3D val="0"/>
                  <c:spPr>
                    <a:solidFill>
                      <a:schemeClr val="accent1"/>
                    </a:solidFill>
                    <a:ln w="19050">
                      <a:solidFill>
                        <a:schemeClr val="lt1"/>
                      </a:solidFill>
                    </a:ln>
                    <a:effectLst/>
                  </c:spPr>
                  <c:extLst xmlns:c15="http://schemas.microsoft.com/office/drawing/2012/chart">
                    <c:ext xmlns:c16="http://schemas.microsoft.com/office/drawing/2014/chart" uri="{C3380CC4-5D6E-409C-BE32-E72D297353CC}">
                      <c16:uniqueId val="{00000001-D0C8-4038-8DFF-3E876972DCC0}"/>
                    </c:ext>
                  </c:extLst>
                </c:dPt>
                <c:dPt>
                  <c:idx val="1"/>
                  <c:bubble3D val="0"/>
                  <c:spPr>
                    <a:solidFill>
                      <a:schemeClr val="accent2"/>
                    </a:solidFill>
                    <a:ln w="19050">
                      <a:solidFill>
                        <a:schemeClr val="lt1"/>
                      </a:solidFill>
                    </a:ln>
                    <a:effectLst/>
                  </c:spPr>
                  <c:extLst xmlns:c15="http://schemas.microsoft.com/office/drawing/2012/chart">
                    <c:ext xmlns:c16="http://schemas.microsoft.com/office/drawing/2014/chart" uri="{C3380CC4-5D6E-409C-BE32-E72D297353CC}">
                      <c16:uniqueId val="{00000003-D0C8-4038-8DFF-3E876972DCC0}"/>
                    </c:ext>
                  </c:extLst>
                </c:dPt>
                <c:dPt>
                  <c:idx val="2"/>
                  <c:bubble3D val="0"/>
                  <c:spPr>
                    <a:solidFill>
                      <a:schemeClr val="accent3"/>
                    </a:solidFill>
                    <a:ln w="19050">
                      <a:solidFill>
                        <a:schemeClr val="lt1"/>
                      </a:solidFill>
                    </a:ln>
                    <a:effectLst/>
                  </c:spPr>
                  <c:extLst xmlns:c15="http://schemas.microsoft.com/office/drawing/2012/chart">
                    <c:ext xmlns:c16="http://schemas.microsoft.com/office/drawing/2014/chart" uri="{C3380CC4-5D6E-409C-BE32-E72D297353CC}">
                      <c16:uniqueId val="{00000005-D0C8-4038-8DFF-3E876972DCC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Arkusz1!$B$2:$B$4</c15:sqref>
                        </c15:formulaRef>
                      </c:ext>
                    </c:extLst>
                    <c:strCache>
                      <c:ptCount val="3"/>
                      <c:pt idx="0">
                        <c:v>Nie</c:v>
                      </c:pt>
                      <c:pt idx="1">
                        <c:v>Trudno powiedzieć</c:v>
                      </c:pt>
                      <c:pt idx="2">
                        <c:v>Tak</c:v>
                      </c:pt>
                    </c:strCache>
                  </c:strRef>
                </c:cat>
                <c:val>
                  <c:numRef>
                    <c:extLst xmlns:c15="http://schemas.microsoft.com/office/drawing/2012/chart">
                      <c:ext xmlns:c15="http://schemas.microsoft.com/office/drawing/2012/chart" uri="{02D57815-91ED-43cb-92C2-25804820EDAC}">
                        <c15:formulaRef>
                          <c15:sqref>Arkusz1!$F$2:$F$4</c15:sqref>
                        </c15:formulaRef>
                      </c:ext>
                    </c:extLst>
                    <c:numCache>
                      <c:formatCode>0.00%</c:formatCode>
                      <c:ptCount val="3"/>
                      <c:pt idx="0">
                        <c:v>0.76600000000000001</c:v>
                      </c:pt>
                      <c:pt idx="1">
                        <c:v>1.6E-2</c:v>
                      </c:pt>
                      <c:pt idx="2">
                        <c:v>0.218</c:v>
                      </c:pt>
                    </c:numCache>
                  </c:numRef>
                </c:val>
                <c:extLst xmlns:c15="http://schemas.microsoft.com/office/drawing/2012/chart">
                  <c:ext xmlns:c16="http://schemas.microsoft.com/office/drawing/2014/chart" uri="{C3380CC4-5D6E-409C-BE32-E72D297353CC}">
                    <c16:uniqueId val="{00000006-D0C8-4038-8DFF-3E876972DCC0}"/>
                  </c:ext>
                </c:extLst>
              </c15:ser>
            </c15:filteredPieSeries>
          </c:ext>
        </c:extLst>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100" b="1" i="0" u="none" strike="noStrike" kern="1200" cap="small"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2499070207317195E-2"/>
          <c:y val="0.2508460578303755"/>
          <c:w val="0.90199170447823596"/>
          <c:h val="0.5974754347601664"/>
        </c:manualLayout>
      </c:layout>
      <c:pieChart>
        <c:varyColors val="1"/>
        <c:ser>
          <c:idx val="2"/>
          <c:order val="2"/>
          <c:tx>
            <c:strRef>
              <c:f>Arkusz1!$E$1</c:f>
              <c:strCache>
                <c:ptCount val="1"/>
                <c:pt idx="0">
                  <c:v>Usługi</c:v>
                </c:pt>
              </c:strCache>
              <c:extLst xmlns:c15="http://schemas.microsoft.com/office/drawing/2012/chart"/>
            </c:strRef>
          </c:tx>
          <c:dPt>
            <c:idx val="0"/>
            <c:bubble3D val="0"/>
            <c:spPr>
              <a:solidFill>
                <a:srgbClr val="00B050"/>
              </a:solidFill>
              <a:ln w="19050">
                <a:solidFill>
                  <a:schemeClr val="lt1"/>
                </a:solidFill>
              </a:ln>
              <a:effectLst/>
            </c:spPr>
            <c:extLst>
              <c:ext xmlns:c16="http://schemas.microsoft.com/office/drawing/2014/chart" uri="{C3380CC4-5D6E-409C-BE32-E72D297353CC}">
                <c16:uniqueId val="{00000016-46BD-43DF-9F3D-790C1D4C3C0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8-46BD-43DF-9F3D-790C1D4C3C0E}"/>
              </c:ext>
            </c:extLst>
          </c:dPt>
          <c:dPt>
            <c:idx val="2"/>
            <c:bubble3D val="0"/>
            <c:spPr>
              <a:solidFill>
                <a:srgbClr val="0070C0"/>
              </a:solidFill>
              <a:ln w="19050">
                <a:solidFill>
                  <a:schemeClr val="lt1"/>
                </a:solidFill>
              </a:ln>
              <a:effectLst/>
            </c:spPr>
            <c:extLst>
              <c:ext xmlns:c16="http://schemas.microsoft.com/office/drawing/2014/chart" uri="{C3380CC4-5D6E-409C-BE32-E72D297353CC}">
                <c16:uniqueId val="{0000001A-46BD-43DF-9F3D-790C1D4C3C0E}"/>
              </c:ext>
            </c:extLst>
          </c:dPt>
          <c:dLbls>
            <c:dLbl>
              <c:idx val="0"/>
              <c:layout>
                <c:manualLayout>
                  <c:x val="-0.17009007477304203"/>
                  <c:y val="-0.14129822717333168"/>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341030245713213"/>
                      <c:h val="0.14880810488676996"/>
                    </c:manualLayout>
                  </c15:layout>
                </c:ext>
                <c:ext xmlns:c16="http://schemas.microsoft.com/office/drawing/2014/chart" uri="{C3380CC4-5D6E-409C-BE32-E72D297353CC}">
                  <c16:uniqueId val="{00000016-46BD-43DF-9F3D-790C1D4C3C0E}"/>
                </c:ext>
              </c:extLst>
            </c:dLbl>
            <c:dLbl>
              <c:idx val="1"/>
              <c:layout>
                <c:manualLayout>
                  <c:x val="7.3971117982721796E-2"/>
                  <c:y val="-9.1657672707478904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2">
                          <a:lumMod val="25000"/>
                        </a:schemeClr>
                      </a:solidFill>
                      <a:latin typeface="+mn-lt"/>
                      <a:ea typeface="+mn-ea"/>
                      <a:cs typeface="+mn-cs"/>
                    </a:defRPr>
                  </a:pPr>
                  <a:endParaRPr lang="pl-PL"/>
                </a:p>
              </c:txPr>
              <c:dLblPos val="bestFit"/>
              <c:showLegendKey val="0"/>
              <c:showVal val="1"/>
              <c:showCatName val="0"/>
              <c:showSerName val="0"/>
              <c:showPercent val="0"/>
              <c:showBubbleSize val="0"/>
              <c:extLst>
                <c:ext xmlns:c15="http://schemas.microsoft.com/office/drawing/2012/chart" uri="{CE6537A1-D6FC-4f65-9D91-7224C49458BB}">
                  <c15:layout>
                    <c:manualLayout>
                      <c:w val="0.39082321187584346"/>
                      <c:h val="0.14880810488676996"/>
                    </c:manualLayout>
                  </c15:layout>
                </c:ext>
                <c:ext xmlns:c16="http://schemas.microsoft.com/office/drawing/2014/chart" uri="{C3380CC4-5D6E-409C-BE32-E72D297353CC}">
                  <c16:uniqueId val="{00000018-46BD-43DF-9F3D-790C1D4C3C0E}"/>
                </c:ext>
              </c:extLst>
            </c:dLbl>
            <c:dLbl>
              <c:idx val="2"/>
              <c:dLblPos val="inEnd"/>
              <c:showLegendKey val="0"/>
              <c:showVal val="1"/>
              <c:showCatName val="0"/>
              <c:showSerName val="0"/>
              <c:showPercent val="0"/>
              <c:showBubbleSize val="0"/>
              <c:extLst>
                <c:ext xmlns:c15="http://schemas.microsoft.com/office/drawing/2012/chart" uri="{CE6537A1-D6FC-4f65-9D91-7224C49458BB}">
                  <c15:layout>
                    <c:manualLayout>
                      <c:w val="0.32388663967611336"/>
                      <c:h val="0.14880810488676996"/>
                    </c:manualLayout>
                  </c15:layout>
                </c:ext>
                <c:ext xmlns:c16="http://schemas.microsoft.com/office/drawing/2014/chart" uri="{C3380CC4-5D6E-409C-BE32-E72D297353CC}">
                  <c16:uniqueId val="{0000001A-46BD-43DF-9F3D-790C1D4C3C0E}"/>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Arkusz1!$B$2:$B$4</c:f>
              <c:strCache>
                <c:ptCount val="3"/>
                <c:pt idx="0">
                  <c:v>Nie</c:v>
                </c:pt>
                <c:pt idx="1">
                  <c:v>Trudno powiedzieć</c:v>
                </c:pt>
                <c:pt idx="2">
                  <c:v>Tak</c:v>
                </c:pt>
              </c:strCache>
              <c:extLst xmlns:c15="http://schemas.microsoft.com/office/drawing/2012/chart"/>
            </c:strRef>
          </c:cat>
          <c:val>
            <c:numRef>
              <c:f>Arkusz1!$E$2:$E$4</c:f>
              <c:numCache>
                <c:formatCode>0.00%</c:formatCode>
                <c:ptCount val="3"/>
                <c:pt idx="0">
                  <c:v>0.67900000000000005</c:v>
                </c:pt>
                <c:pt idx="1">
                  <c:v>0.02</c:v>
                </c:pt>
                <c:pt idx="2">
                  <c:v>0.30199999999999999</c:v>
                </c:pt>
              </c:numCache>
              <c:extLst xmlns:c15="http://schemas.microsoft.com/office/drawing/2012/chart"/>
            </c:numRef>
          </c:val>
          <c:extLst>
            <c:ext xmlns:c16="http://schemas.microsoft.com/office/drawing/2014/chart" uri="{C3380CC4-5D6E-409C-BE32-E72D297353CC}">
              <c16:uniqueId val="{0000001B-46BD-43DF-9F3D-790C1D4C3C0E}"/>
            </c:ext>
          </c:extLst>
        </c:ser>
        <c:dLbls>
          <c:showLegendKey val="0"/>
          <c:showVal val="0"/>
          <c:showCatName val="0"/>
          <c:showSerName val="0"/>
          <c:showPercent val="0"/>
          <c:showBubbleSize val="0"/>
          <c:showLeaderLines val="1"/>
        </c:dLbls>
        <c:firstSliceAng val="0"/>
        <c:extLst>
          <c:ext xmlns:c15="http://schemas.microsoft.com/office/drawing/2012/chart" uri="{02D57815-91ED-43cb-92C2-25804820EDAC}">
            <c15:filteredPieSeries>
              <c15:ser>
                <c:idx val="0"/>
                <c:order val="0"/>
                <c:tx>
                  <c:strRef>
                    <c:extLst>
                      <c:ext uri="{02D57815-91ED-43cb-92C2-25804820EDAC}">
                        <c15:formulaRef>
                          <c15:sqref>Arkusz1!$C$1</c15:sqref>
                        </c15:formulaRef>
                      </c:ext>
                    </c:extLst>
                    <c:strCache>
                      <c:ptCount val="1"/>
                      <c:pt idx="0">
                        <c:v>Handel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8-46BD-43DF-9F3D-790C1D4C3C0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A-46BD-43DF-9F3D-790C1D4C3C0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C-46BD-43DF-9F3D-790C1D4C3C0E}"/>
                    </c:ext>
                  </c:extLst>
                </c:dPt>
                <c:cat>
                  <c:strRef>
                    <c:extLst>
                      <c:ext uri="{02D57815-91ED-43cb-92C2-25804820EDAC}">
                        <c15:formulaRef>
                          <c15:sqref>Arkusz1!$B$2:$B$4</c15:sqref>
                        </c15:formulaRef>
                      </c:ext>
                    </c:extLst>
                    <c:strCache>
                      <c:ptCount val="3"/>
                      <c:pt idx="0">
                        <c:v>Nie</c:v>
                      </c:pt>
                      <c:pt idx="1">
                        <c:v>Trudno powiedzieć</c:v>
                      </c:pt>
                      <c:pt idx="2">
                        <c:v>Tak</c:v>
                      </c:pt>
                    </c:strCache>
                  </c:strRef>
                </c:cat>
                <c:val>
                  <c:numRef>
                    <c:extLst>
                      <c:ext uri="{02D57815-91ED-43cb-92C2-25804820EDAC}">
                        <c15:formulaRef>
                          <c15:sqref>Arkusz1!$C$2:$C$4</c15:sqref>
                        </c15:formulaRef>
                      </c:ext>
                    </c:extLst>
                    <c:numCache>
                      <c:formatCode>0.00%</c:formatCode>
                      <c:ptCount val="3"/>
                      <c:pt idx="0">
                        <c:v>0.88500000000000001</c:v>
                      </c:pt>
                      <c:pt idx="1">
                        <c:v>0</c:v>
                      </c:pt>
                      <c:pt idx="2">
                        <c:v>0.115</c:v>
                      </c:pt>
                    </c:numCache>
                  </c:numRef>
                </c:val>
                <c:extLst>
                  <c:ext xmlns:c16="http://schemas.microsoft.com/office/drawing/2014/chart" uri="{C3380CC4-5D6E-409C-BE32-E72D297353CC}">
                    <c16:uniqueId val="{0000000D-46BD-43DF-9F3D-790C1D4C3C0E}"/>
                  </c:ext>
                </c:extLst>
              </c15:ser>
            </c15:filteredPieSeries>
            <c15:filteredPieSeries>
              <c15:ser>
                <c:idx val="1"/>
                <c:order val="1"/>
                <c:tx>
                  <c:strRef>
                    <c:extLst xmlns:c15="http://schemas.microsoft.com/office/drawing/2012/chart">
                      <c:ext xmlns:c15="http://schemas.microsoft.com/office/drawing/2012/chart" uri="{02D57815-91ED-43cb-92C2-25804820EDAC}">
                        <c15:formulaRef>
                          <c15:sqref>Arkusz1!$D$1</c15:sqref>
                        </c15:formulaRef>
                      </c:ext>
                    </c:extLst>
                    <c:strCache>
                      <c:ptCount val="1"/>
                      <c:pt idx="0">
                        <c:v>Produkcja</c:v>
                      </c:pt>
                    </c:strCache>
                  </c:strRef>
                </c:tx>
                <c:dPt>
                  <c:idx val="0"/>
                  <c:bubble3D val="0"/>
                  <c:spPr>
                    <a:solidFill>
                      <a:schemeClr val="accent1"/>
                    </a:solidFill>
                    <a:ln w="19050">
                      <a:solidFill>
                        <a:schemeClr val="lt1"/>
                      </a:solidFill>
                    </a:ln>
                    <a:effectLst/>
                  </c:spPr>
                  <c:extLst xmlns:c15="http://schemas.microsoft.com/office/drawing/2012/chart">
                    <c:ext xmlns:c16="http://schemas.microsoft.com/office/drawing/2014/chart" uri="{C3380CC4-5D6E-409C-BE32-E72D297353CC}">
                      <c16:uniqueId val="{0000000F-46BD-43DF-9F3D-790C1D4C3C0E}"/>
                    </c:ext>
                  </c:extLst>
                </c:dPt>
                <c:dPt>
                  <c:idx val="1"/>
                  <c:bubble3D val="0"/>
                  <c:spPr>
                    <a:solidFill>
                      <a:schemeClr val="accent2"/>
                    </a:solidFill>
                    <a:ln w="19050">
                      <a:solidFill>
                        <a:schemeClr val="lt1"/>
                      </a:solidFill>
                    </a:ln>
                    <a:effectLst/>
                  </c:spPr>
                  <c:extLst xmlns:c15="http://schemas.microsoft.com/office/drawing/2012/chart">
                    <c:ext xmlns:c16="http://schemas.microsoft.com/office/drawing/2014/chart" uri="{C3380CC4-5D6E-409C-BE32-E72D297353CC}">
                      <c16:uniqueId val="{00000011-46BD-43DF-9F3D-790C1D4C3C0E}"/>
                    </c:ext>
                  </c:extLst>
                </c:dPt>
                <c:dPt>
                  <c:idx val="2"/>
                  <c:bubble3D val="0"/>
                  <c:spPr>
                    <a:solidFill>
                      <a:schemeClr val="accent3"/>
                    </a:solidFill>
                    <a:ln w="19050">
                      <a:solidFill>
                        <a:schemeClr val="lt1"/>
                      </a:solidFill>
                    </a:ln>
                    <a:effectLst/>
                  </c:spPr>
                  <c:extLst xmlns:c15="http://schemas.microsoft.com/office/drawing/2012/chart">
                    <c:ext xmlns:c16="http://schemas.microsoft.com/office/drawing/2014/chart" uri="{C3380CC4-5D6E-409C-BE32-E72D297353CC}">
                      <c16:uniqueId val="{00000013-46BD-43DF-9F3D-790C1D4C3C0E}"/>
                    </c:ext>
                  </c:extLst>
                </c:dPt>
                <c:cat>
                  <c:strRef>
                    <c:extLst xmlns:c15="http://schemas.microsoft.com/office/drawing/2012/chart">
                      <c:ext xmlns:c15="http://schemas.microsoft.com/office/drawing/2012/chart" uri="{02D57815-91ED-43cb-92C2-25804820EDAC}">
                        <c15:formulaRef>
                          <c15:sqref>Arkusz1!$B$2:$B$4</c15:sqref>
                        </c15:formulaRef>
                      </c:ext>
                    </c:extLst>
                    <c:strCache>
                      <c:ptCount val="3"/>
                      <c:pt idx="0">
                        <c:v>Nie</c:v>
                      </c:pt>
                      <c:pt idx="1">
                        <c:v>Trudno powiedzieć</c:v>
                      </c:pt>
                      <c:pt idx="2">
                        <c:v>Tak</c:v>
                      </c:pt>
                    </c:strCache>
                  </c:strRef>
                </c:cat>
                <c:val>
                  <c:numRef>
                    <c:extLst xmlns:c15="http://schemas.microsoft.com/office/drawing/2012/chart">
                      <c:ext xmlns:c15="http://schemas.microsoft.com/office/drawing/2012/chart" uri="{02D57815-91ED-43cb-92C2-25804820EDAC}">
                        <c15:formulaRef>
                          <c15:sqref>Arkusz1!$D$2:$D$4</c15:sqref>
                        </c15:formulaRef>
                      </c:ext>
                    </c:extLst>
                    <c:numCache>
                      <c:formatCode>0.00%</c:formatCode>
                      <c:ptCount val="3"/>
                      <c:pt idx="0">
                        <c:v>0.82499999999999996</c:v>
                      </c:pt>
                      <c:pt idx="1">
                        <c:v>2.4E-2</c:v>
                      </c:pt>
                      <c:pt idx="2">
                        <c:v>0.151</c:v>
                      </c:pt>
                    </c:numCache>
                  </c:numRef>
                </c:val>
                <c:extLst xmlns:c15="http://schemas.microsoft.com/office/drawing/2012/chart">
                  <c:ext xmlns:c16="http://schemas.microsoft.com/office/drawing/2014/chart" uri="{C3380CC4-5D6E-409C-BE32-E72D297353CC}">
                    <c16:uniqueId val="{00000014-46BD-43DF-9F3D-790C1D4C3C0E}"/>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Arkusz1!$F$1</c15:sqref>
                        </c15:formulaRef>
                      </c:ext>
                    </c:extLst>
                    <c:strCache>
                      <c:ptCount val="1"/>
                      <c:pt idx="0">
                        <c:v>Total</c:v>
                      </c:pt>
                    </c:strCache>
                  </c:strRef>
                </c:tx>
                <c:dPt>
                  <c:idx val="0"/>
                  <c:bubble3D val="0"/>
                  <c:spPr>
                    <a:solidFill>
                      <a:schemeClr val="accent1"/>
                    </a:solidFill>
                    <a:ln w="19050">
                      <a:solidFill>
                        <a:schemeClr val="lt1"/>
                      </a:solidFill>
                    </a:ln>
                    <a:effectLst/>
                  </c:spPr>
                  <c:extLst xmlns:c15="http://schemas.microsoft.com/office/drawing/2012/chart">
                    <c:ext xmlns:c16="http://schemas.microsoft.com/office/drawing/2014/chart" uri="{C3380CC4-5D6E-409C-BE32-E72D297353CC}">
                      <c16:uniqueId val="{00000001-46BD-43DF-9F3D-790C1D4C3C0E}"/>
                    </c:ext>
                  </c:extLst>
                </c:dPt>
                <c:dPt>
                  <c:idx val="1"/>
                  <c:bubble3D val="0"/>
                  <c:spPr>
                    <a:solidFill>
                      <a:schemeClr val="accent2"/>
                    </a:solidFill>
                    <a:ln w="19050">
                      <a:solidFill>
                        <a:schemeClr val="lt1"/>
                      </a:solidFill>
                    </a:ln>
                    <a:effectLst/>
                  </c:spPr>
                  <c:extLst xmlns:c15="http://schemas.microsoft.com/office/drawing/2012/chart">
                    <c:ext xmlns:c16="http://schemas.microsoft.com/office/drawing/2014/chart" uri="{C3380CC4-5D6E-409C-BE32-E72D297353CC}">
                      <c16:uniqueId val="{00000003-46BD-43DF-9F3D-790C1D4C3C0E}"/>
                    </c:ext>
                  </c:extLst>
                </c:dPt>
                <c:dPt>
                  <c:idx val="2"/>
                  <c:bubble3D val="0"/>
                  <c:spPr>
                    <a:solidFill>
                      <a:schemeClr val="accent3"/>
                    </a:solidFill>
                    <a:ln w="19050">
                      <a:solidFill>
                        <a:schemeClr val="lt1"/>
                      </a:solidFill>
                    </a:ln>
                    <a:effectLst/>
                  </c:spPr>
                  <c:extLst xmlns:c15="http://schemas.microsoft.com/office/drawing/2012/chart">
                    <c:ext xmlns:c16="http://schemas.microsoft.com/office/drawing/2014/chart" uri="{C3380CC4-5D6E-409C-BE32-E72D297353CC}">
                      <c16:uniqueId val="{00000005-46BD-43DF-9F3D-790C1D4C3C0E}"/>
                    </c:ext>
                  </c:extLst>
                </c:dPt>
                <c:cat>
                  <c:strRef>
                    <c:extLst xmlns:c15="http://schemas.microsoft.com/office/drawing/2012/chart">
                      <c:ext xmlns:c15="http://schemas.microsoft.com/office/drawing/2012/chart" uri="{02D57815-91ED-43cb-92C2-25804820EDAC}">
                        <c15:formulaRef>
                          <c15:sqref>Arkusz1!$B$2:$B$4</c15:sqref>
                        </c15:formulaRef>
                      </c:ext>
                    </c:extLst>
                    <c:strCache>
                      <c:ptCount val="3"/>
                      <c:pt idx="0">
                        <c:v>Nie</c:v>
                      </c:pt>
                      <c:pt idx="1">
                        <c:v>Trudno powiedzieć</c:v>
                      </c:pt>
                      <c:pt idx="2">
                        <c:v>Tak</c:v>
                      </c:pt>
                    </c:strCache>
                  </c:strRef>
                </c:cat>
                <c:val>
                  <c:numRef>
                    <c:extLst xmlns:c15="http://schemas.microsoft.com/office/drawing/2012/chart">
                      <c:ext xmlns:c15="http://schemas.microsoft.com/office/drawing/2012/chart" uri="{02D57815-91ED-43cb-92C2-25804820EDAC}">
                        <c15:formulaRef>
                          <c15:sqref>Arkusz1!$F$2:$F$4</c15:sqref>
                        </c15:formulaRef>
                      </c:ext>
                    </c:extLst>
                    <c:numCache>
                      <c:formatCode>0.00%</c:formatCode>
                      <c:ptCount val="3"/>
                      <c:pt idx="0">
                        <c:v>0.76600000000000001</c:v>
                      </c:pt>
                      <c:pt idx="1">
                        <c:v>1.6E-2</c:v>
                      </c:pt>
                      <c:pt idx="2">
                        <c:v>0.218</c:v>
                      </c:pt>
                    </c:numCache>
                  </c:numRef>
                </c:val>
                <c:extLst xmlns:c15="http://schemas.microsoft.com/office/drawing/2012/chart">
                  <c:ext xmlns:c16="http://schemas.microsoft.com/office/drawing/2014/chart" uri="{C3380CC4-5D6E-409C-BE32-E72D297353CC}">
                    <c16:uniqueId val="{00000006-46BD-43DF-9F3D-790C1D4C3C0E}"/>
                  </c:ext>
                </c:extLst>
              </c15:ser>
            </c15:filteredPieSeries>
          </c:ext>
        </c:extLst>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100" b="1" i="0" cap="small" baseline="0">
                <a:solidFill>
                  <a:schemeClr val="tx1">
                    <a:lumMod val="50000"/>
                    <a:lumOff val="50000"/>
                  </a:schemeClr>
                </a:solidFill>
                <a:effectLst/>
              </a:rPr>
              <a:t>Kwota zaległości firm gastronomicznych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0.37484651349961362"/>
          <c:y val="6.7430737824438605E-2"/>
          <c:w val="0.61728363368611294"/>
          <c:h val="0.92581291921843101"/>
        </c:manualLayout>
      </c:layout>
      <c:barChart>
        <c:barDir val="bar"/>
        <c:grouping val="clustered"/>
        <c:varyColors val="0"/>
        <c:ser>
          <c:idx val="1"/>
          <c:order val="0"/>
          <c:tx>
            <c:strRef>
              <c:f>Arkusz1!$D$35</c:f>
              <c:strCache>
                <c:ptCount val="1"/>
                <c:pt idx="0">
                  <c:v>III 2021</c:v>
                </c:pt>
              </c:strCache>
            </c:strRef>
          </c:tx>
          <c:spPr>
            <a:solidFill>
              <a:srgbClr val="00B050"/>
            </a:solidFill>
            <a:ln>
              <a:noFill/>
            </a:ln>
            <a:effectLst/>
          </c:spPr>
          <c:invertIfNegative val="0"/>
          <c:dLbls>
            <c:dLbl>
              <c:idx val="0"/>
              <c:numFmt formatCode="#,##0.0\ &quot;mln zł&quot;" sourceLinked="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pl-PL"/>
                </a:p>
              </c:txPr>
              <c:dLblPos val="inEnd"/>
              <c:showLegendKey val="0"/>
              <c:showVal val="1"/>
              <c:showCatName val="0"/>
              <c:showSerName val="0"/>
              <c:showPercent val="0"/>
              <c:showBubbleSize val="0"/>
              <c:extLst>
                <c:ext xmlns:c16="http://schemas.microsoft.com/office/drawing/2014/chart" uri="{C3380CC4-5D6E-409C-BE32-E72D297353CC}">
                  <c16:uniqueId val="{00000003-CE01-43B7-B873-7624859997D0}"/>
                </c:ext>
              </c:extLst>
            </c:dLbl>
            <c:dLbl>
              <c:idx val="1"/>
              <c:numFmt formatCode="#,##0.0\ &quot;mln zł&quot;"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dLblPos val="inEnd"/>
              <c:showLegendKey val="0"/>
              <c:showVal val="1"/>
              <c:showCatName val="0"/>
              <c:showSerName val="0"/>
              <c:showPercent val="0"/>
              <c:showBubbleSize val="0"/>
              <c:extLst>
                <c:ext xmlns:c16="http://schemas.microsoft.com/office/drawing/2014/chart" uri="{C3380CC4-5D6E-409C-BE32-E72D297353CC}">
                  <c16:uniqueId val="{00000001-7837-4CC4-9E88-58037CD0898B}"/>
                </c:ext>
              </c:extLst>
            </c:dLbl>
            <c:numFmt formatCode="#,##0.0\ &quot;mln zł&quot;"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Arkusz1!$A$36:$A$41</c:f>
              <c:strCache>
                <c:ptCount val="6"/>
                <c:pt idx="0">
                  <c:v>Łącznie</c:v>
                </c:pt>
                <c:pt idx="1">
                  <c:v>Restauracje i inne stałe placówki gastronomiczne</c:v>
                </c:pt>
                <c:pt idx="2">
                  <c:v>Ruchome placówki gastronomiczne</c:v>
                </c:pt>
                <c:pt idx="3">
                  <c:v>Catering</c:v>
                </c:pt>
                <c:pt idx="4">
                  <c:v>Przygotowywanie i podawanie napojów</c:v>
                </c:pt>
                <c:pt idx="5">
                  <c:v>Pozostałe usługi</c:v>
                </c:pt>
              </c:strCache>
            </c:strRef>
          </c:cat>
          <c:val>
            <c:numRef>
              <c:f>Arkusz1!$D$36:$D$41</c:f>
              <c:numCache>
                <c:formatCode>#\ ##0.0\ \ " mln zł"</c:formatCode>
                <c:ptCount val="6"/>
                <c:pt idx="0">
                  <c:v>727805399.30878484</c:v>
                </c:pt>
                <c:pt idx="1">
                  <c:v>601405313.68263876</c:v>
                </c:pt>
                <c:pt idx="2">
                  <c:v>17367078.100000001</c:v>
                </c:pt>
                <c:pt idx="3">
                  <c:v>47715398.357233331</c:v>
                </c:pt>
                <c:pt idx="4">
                  <c:v>24748418.027722221</c:v>
                </c:pt>
                <c:pt idx="5">
                  <c:v>36569191.141190477</c:v>
                </c:pt>
              </c:numCache>
            </c:numRef>
          </c:val>
          <c:extLst>
            <c:ext xmlns:c16="http://schemas.microsoft.com/office/drawing/2014/chart" uri="{C3380CC4-5D6E-409C-BE32-E72D297353CC}">
              <c16:uniqueId val="{00000001-CE01-43B7-B873-7624859997D0}"/>
            </c:ext>
          </c:extLst>
        </c:ser>
        <c:ser>
          <c:idx val="2"/>
          <c:order val="1"/>
          <c:tx>
            <c:strRef>
              <c:f>Arkusz1!$C$35</c:f>
              <c:strCache>
                <c:ptCount val="1"/>
                <c:pt idx="0">
                  <c:v>II 2021</c:v>
                </c:pt>
              </c:strCache>
            </c:strRef>
          </c:tx>
          <c:spPr>
            <a:solidFill>
              <a:schemeClr val="accent6">
                <a:lumMod val="60000"/>
                <a:lumOff val="40000"/>
              </a:schemeClr>
            </a:solidFill>
            <a:ln>
              <a:noFill/>
            </a:ln>
            <a:effectLst/>
          </c:spPr>
          <c:invertIfNegative val="0"/>
          <c:dLbls>
            <c:dLbl>
              <c:idx val="0"/>
              <c:numFmt formatCode="#,##0.0\ &quot;mln zł&quot;" sourceLinked="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pl-PL"/>
                </a:p>
              </c:txPr>
              <c:dLblPos val="inEnd"/>
              <c:showLegendKey val="0"/>
              <c:showVal val="1"/>
              <c:showCatName val="0"/>
              <c:showSerName val="0"/>
              <c:showPercent val="0"/>
              <c:showBubbleSize val="0"/>
              <c:extLst>
                <c:ext xmlns:c16="http://schemas.microsoft.com/office/drawing/2014/chart" uri="{C3380CC4-5D6E-409C-BE32-E72D297353CC}">
                  <c16:uniqueId val="{00000002-34D8-43E1-999D-0B2C46E3B361}"/>
                </c:ext>
              </c:extLst>
            </c:dLbl>
            <c:dLbl>
              <c:idx val="1"/>
              <c:numFmt formatCode="#,##0.0\ &quot;mln zł&quot;"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dLblPos val="inEnd"/>
              <c:showLegendKey val="0"/>
              <c:showVal val="1"/>
              <c:showCatName val="0"/>
              <c:showSerName val="0"/>
              <c:showPercent val="0"/>
              <c:showBubbleSize val="0"/>
              <c:extLst>
                <c:ext xmlns:c16="http://schemas.microsoft.com/office/drawing/2014/chart" uri="{C3380CC4-5D6E-409C-BE32-E72D297353CC}">
                  <c16:uniqueId val="{00000002-7837-4CC4-9E88-58037CD0898B}"/>
                </c:ext>
              </c:extLst>
            </c:dLbl>
            <c:numFmt formatCode="#,##0.0\ &quot;mln zł&quot;"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Arkusz1!$C$36:$C$41</c:f>
              <c:numCache>
                <c:formatCode>#\ ##0.0\ \ " mln zł"</c:formatCode>
                <c:ptCount val="6"/>
                <c:pt idx="0">
                  <c:v>714764820</c:v>
                </c:pt>
                <c:pt idx="1">
                  <c:v>590433684</c:v>
                </c:pt>
                <c:pt idx="2">
                  <c:v>16863158</c:v>
                </c:pt>
                <c:pt idx="3">
                  <c:v>45433463</c:v>
                </c:pt>
                <c:pt idx="4">
                  <c:v>25935465</c:v>
                </c:pt>
                <c:pt idx="5">
                  <c:v>36099051</c:v>
                </c:pt>
              </c:numCache>
            </c:numRef>
          </c:val>
          <c:extLst>
            <c:ext xmlns:c16="http://schemas.microsoft.com/office/drawing/2014/chart" uri="{C3380CC4-5D6E-409C-BE32-E72D297353CC}">
              <c16:uniqueId val="{00000001-34D8-43E1-999D-0B2C46E3B361}"/>
            </c:ext>
          </c:extLst>
        </c:ser>
        <c:ser>
          <c:idx val="0"/>
          <c:order val="2"/>
          <c:tx>
            <c:strRef>
              <c:f>Arkusz1!$B$35</c:f>
              <c:strCache>
                <c:ptCount val="1"/>
                <c:pt idx="0">
                  <c:v>III 2020</c:v>
                </c:pt>
              </c:strCache>
            </c:strRef>
          </c:tx>
          <c:spPr>
            <a:solidFill>
              <a:srgbClr val="0070C0"/>
            </a:solidFill>
            <a:ln>
              <a:noFill/>
            </a:ln>
            <a:effectLst/>
          </c:spPr>
          <c:invertIfNegative val="0"/>
          <c:dLbls>
            <c:dLbl>
              <c:idx val="0"/>
              <c:numFmt formatCode="#,##0.0\ &quot;mln zł&quot;" sourceLinked="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pl-PL"/>
                </a:p>
              </c:txPr>
              <c:dLblPos val="inEnd"/>
              <c:showLegendKey val="0"/>
              <c:showVal val="1"/>
              <c:showCatName val="0"/>
              <c:showSerName val="0"/>
              <c:showPercent val="0"/>
              <c:showBubbleSize val="0"/>
              <c:extLst>
                <c:ext xmlns:c16="http://schemas.microsoft.com/office/drawing/2014/chart" uri="{C3380CC4-5D6E-409C-BE32-E72D297353CC}">
                  <c16:uniqueId val="{00000004-CE01-43B7-B873-7624859997D0}"/>
                </c:ext>
              </c:extLst>
            </c:dLbl>
            <c:dLbl>
              <c:idx val="1"/>
              <c:numFmt formatCode="#,##0.0\ &quot;mln zł&quot;"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dLblPos val="inEnd"/>
              <c:showLegendKey val="0"/>
              <c:showVal val="1"/>
              <c:showCatName val="0"/>
              <c:showSerName val="0"/>
              <c:showPercent val="0"/>
              <c:showBubbleSize val="0"/>
              <c:extLst>
                <c:ext xmlns:c16="http://schemas.microsoft.com/office/drawing/2014/chart" uri="{C3380CC4-5D6E-409C-BE32-E72D297353CC}">
                  <c16:uniqueId val="{00000003-7837-4CC4-9E88-58037CD0898B}"/>
                </c:ext>
              </c:extLst>
            </c:dLbl>
            <c:numFmt formatCode="#,##0.0\ &quot;mln zł&quot;"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Arkusz1!$A$36:$A$41</c:f>
              <c:strCache>
                <c:ptCount val="6"/>
                <c:pt idx="0">
                  <c:v>Łącznie</c:v>
                </c:pt>
                <c:pt idx="1">
                  <c:v>Restauracje i inne stałe placówki gastronomiczne</c:v>
                </c:pt>
                <c:pt idx="2">
                  <c:v>Ruchome placówki gastronomiczne</c:v>
                </c:pt>
                <c:pt idx="3">
                  <c:v>Catering</c:v>
                </c:pt>
                <c:pt idx="4">
                  <c:v>Przygotowywanie i podawanie napojów</c:v>
                </c:pt>
                <c:pt idx="5">
                  <c:v>Pozostałe usługi</c:v>
                </c:pt>
              </c:strCache>
            </c:strRef>
          </c:cat>
          <c:val>
            <c:numRef>
              <c:f>Arkusz1!$B$36:$B$41</c:f>
              <c:numCache>
                <c:formatCode>#\ ##0.0\ \ " mln zł"</c:formatCode>
                <c:ptCount val="6"/>
                <c:pt idx="0">
                  <c:v>647398313.54049611</c:v>
                </c:pt>
                <c:pt idx="1">
                  <c:v>533854934.424667</c:v>
                </c:pt>
                <c:pt idx="2">
                  <c:v>13740549.91</c:v>
                </c:pt>
                <c:pt idx="3">
                  <c:v>41757332.479633339</c:v>
                </c:pt>
                <c:pt idx="4">
                  <c:v>24369382.474438611</c:v>
                </c:pt>
                <c:pt idx="5">
                  <c:v>33676114.251757145</c:v>
                </c:pt>
              </c:numCache>
            </c:numRef>
          </c:val>
          <c:extLst>
            <c:ext xmlns:c16="http://schemas.microsoft.com/office/drawing/2014/chart" uri="{C3380CC4-5D6E-409C-BE32-E72D297353CC}">
              <c16:uniqueId val="{00000000-CE01-43B7-B873-7624859997D0}"/>
            </c:ext>
          </c:extLst>
        </c:ser>
        <c:dLbls>
          <c:dLblPos val="outEnd"/>
          <c:showLegendKey val="0"/>
          <c:showVal val="1"/>
          <c:showCatName val="0"/>
          <c:showSerName val="0"/>
          <c:showPercent val="0"/>
          <c:showBubbleSize val="0"/>
        </c:dLbls>
        <c:gapWidth val="20"/>
        <c:axId val="372565664"/>
        <c:axId val="372566320"/>
      </c:barChart>
      <c:catAx>
        <c:axId val="372565664"/>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50000"/>
                    <a:lumOff val="50000"/>
                  </a:schemeClr>
                </a:solidFill>
                <a:latin typeface="+mn-lt"/>
                <a:ea typeface="+mn-ea"/>
                <a:cs typeface="+mn-cs"/>
              </a:defRPr>
            </a:pPr>
            <a:endParaRPr lang="pl-PL"/>
          </a:p>
        </c:txPr>
        <c:crossAx val="372566320"/>
        <c:crosses val="autoZero"/>
        <c:auto val="1"/>
        <c:lblAlgn val="ctr"/>
        <c:lblOffset val="1"/>
        <c:tickLblSkip val="1"/>
        <c:tickMarkSkip val="1"/>
        <c:noMultiLvlLbl val="0"/>
      </c:catAx>
      <c:valAx>
        <c:axId val="372566320"/>
        <c:scaling>
          <c:orientation val="minMax"/>
        </c:scaling>
        <c:delete val="1"/>
        <c:axPos val="t"/>
        <c:numFmt formatCode="#,##0\ &quot; mln zł&quot;" sourceLinked="0"/>
        <c:majorTickMark val="out"/>
        <c:minorTickMark val="none"/>
        <c:tickLblPos val="none"/>
        <c:crossAx val="372565664"/>
        <c:crosses val="autoZero"/>
        <c:crossBetween val="between"/>
        <c:dispUnits>
          <c:builtInUnit val="millions"/>
        </c:dispUnits>
      </c:valAx>
      <c:spPr>
        <a:noFill/>
        <a:ln>
          <a:noFill/>
        </a:ln>
        <a:effectLst/>
      </c:spPr>
    </c:plotArea>
    <c:legend>
      <c:legendPos val="b"/>
      <c:layout>
        <c:manualLayout>
          <c:xMode val="edge"/>
          <c:yMode val="edge"/>
          <c:x val="0.70406241625348109"/>
          <c:y val="0.92938701087254716"/>
          <c:w val="0.29593758374651896"/>
          <c:h val="5.46916807980431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8413b39-65eb-4ae7-a910-008744c3d581" origin="userSelected">
  <element uid="id_classification_nonbusiness"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1BED6-C485-49DA-8863-778B7C6B1EC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E5F3F02-30A4-45C9-896F-FEEF328D0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3</Pages>
  <Words>781</Words>
  <Characters>4687</Characters>
  <Application>Microsoft Office Word</Application>
  <DocSecurity>0</DocSecurity>
  <Lines>39</Lines>
  <Paragraphs>10</Paragraphs>
  <ScaleCrop>false</ScaleCrop>
  <HeadingPairs>
    <vt:vector size="2" baseType="variant">
      <vt:variant>
        <vt:lpstr>Tytuł</vt:lpstr>
      </vt:variant>
      <vt:variant>
        <vt:i4>1</vt:i4>
      </vt:variant>
    </vt:vector>
  </HeadingPairs>
  <TitlesOfParts>
    <vt:vector size="1" baseType="lpstr">
      <vt:lpstr/>
    </vt:vector>
  </TitlesOfParts>
  <Company>BIK S.A.</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Kochalska Halina</dc:creator>
  <cp:keywords/>
  <dc:description/>
  <cp:lastModifiedBy>jan.bratkowski@clearcom.pl</cp:lastModifiedBy>
  <cp:revision>13</cp:revision>
  <dcterms:created xsi:type="dcterms:W3CDTF">2021-05-14T08:51:00Z</dcterms:created>
  <dcterms:modified xsi:type="dcterms:W3CDTF">2021-05-14T21:59:00Z</dcterms:modified>
  <cp:category>.Informacje Jawne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ebbcab69-610e-40e2-8791-01db27d13c7b</vt:lpwstr>
  </property>
  <property fmtid="{D5CDD505-2E9C-101B-9397-08002B2CF9AE}" pid="3" name="bjSaver">
    <vt:lpwstr>6ntNSksSHiginG8KZDJKRJ7O3fVY3zq8</vt:lpwstr>
  </property>
  <property fmtid="{D5CDD505-2E9C-101B-9397-08002B2CF9AE}" pid="4" name="bjDocumentLabelXML">
    <vt:lpwstr>&lt;?xml version="1.0" encoding="us-ascii"?&gt;&lt;sisl xmlns:xsi="http://www.w3.org/2001/XMLSchema-instance" xmlns:xsd="http://www.w3.org/2001/XMLSchema" sislVersion="0" policy="88413b39-65eb-4ae7-a910-008744c3d581" origin="userSelected" xmlns="http://www.boldonj</vt:lpwstr>
  </property>
  <property fmtid="{D5CDD505-2E9C-101B-9397-08002B2CF9AE}" pid="5" name="bjDocumentLabelXML-0">
    <vt:lpwstr>ames.com/2008/01/sie/internal/label"&gt;&lt;element uid="id_classification_nonbusiness" value="" /&gt;&lt;/sisl&gt;</vt:lpwstr>
  </property>
  <property fmtid="{D5CDD505-2E9C-101B-9397-08002B2CF9AE}" pid="6" name="bjDocumentSecurityLabel">
    <vt:lpwstr>Jawne</vt:lpwstr>
  </property>
  <property fmtid="{D5CDD505-2E9C-101B-9397-08002B2CF9AE}" pid="7" name="MSIP_Label_1391a466-f120-4668-a5e5-7af4d8a99d82_Enabled">
    <vt:lpwstr>true</vt:lpwstr>
  </property>
  <property fmtid="{D5CDD505-2E9C-101B-9397-08002B2CF9AE}" pid="8" name="MSIP_Label_1391a466-f120-4668-a5e5-7af4d8a99d82_SetDate">
    <vt:lpwstr>2021-05-14T07:11:51Z</vt:lpwstr>
  </property>
  <property fmtid="{D5CDD505-2E9C-101B-9397-08002B2CF9AE}" pid="9" name="MSIP_Label_1391a466-f120-4668-a5e5-7af4d8a99d82_Method">
    <vt:lpwstr>Privileged</vt:lpwstr>
  </property>
  <property fmtid="{D5CDD505-2E9C-101B-9397-08002B2CF9AE}" pid="10" name="MSIP_Label_1391a466-f120-4668-a5e5-7af4d8a99d82_Name">
    <vt:lpwstr>Grupa BIK-Jawne</vt:lpwstr>
  </property>
  <property fmtid="{D5CDD505-2E9C-101B-9397-08002B2CF9AE}" pid="11" name="MSIP_Label_1391a466-f120-4668-a5e5-7af4d8a99d82_SiteId">
    <vt:lpwstr>f2871815-01ea-45c0-a64b-82e189df602c</vt:lpwstr>
  </property>
  <property fmtid="{D5CDD505-2E9C-101B-9397-08002B2CF9AE}" pid="12" name="MSIP_Label_1391a466-f120-4668-a5e5-7af4d8a99d82_ActionId">
    <vt:lpwstr>0c168168-9093-46ef-b622-478990c2aa7f</vt:lpwstr>
  </property>
  <property fmtid="{D5CDD505-2E9C-101B-9397-08002B2CF9AE}" pid="13" name="MSIP_Label_1391a466-f120-4668-a5e5-7af4d8a99d82_ContentBits">
    <vt:lpwstr>2</vt:lpwstr>
  </property>
</Properties>
</file>