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2381C" w14:textId="77777777" w:rsidR="00E21835" w:rsidRPr="007D45FB" w:rsidRDefault="00E21835" w:rsidP="00E21835">
      <w:pPr>
        <w:jc w:val="both"/>
        <w:rPr>
          <w:szCs w:val="23"/>
        </w:rPr>
      </w:pPr>
    </w:p>
    <w:p w14:paraId="35BF6D74" w14:textId="5391CF97" w:rsidR="00E21835" w:rsidRPr="007D45FB" w:rsidRDefault="00E21835" w:rsidP="00C110F7">
      <w:pPr>
        <w:ind w:left="6372"/>
        <w:jc w:val="right"/>
        <w:rPr>
          <w:sz w:val="20"/>
          <w:szCs w:val="20"/>
        </w:rPr>
      </w:pPr>
      <w:r w:rsidRPr="007D45FB">
        <w:rPr>
          <w:sz w:val="20"/>
          <w:szCs w:val="20"/>
        </w:rPr>
        <w:t>Warszawa,</w:t>
      </w:r>
      <w:r w:rsidR="00615915" w:rsidRPr="007D45FB">
        <w:rPr>
          <w:sz w:val="20"/>
          <w:szCs w:val="20"/>
        </w:rPr>
        <w:t xml:space="preserve"> </w:t>
      </w:r>
      <w:r w:rsidR="007A5AF2">
        <w:rPr>
          <w:sz w:val="20"/>
          <w:szCs w:val="20"/>
        </w:rPr>
        <w:t>9</w:t>
      </w:r>
      <w:r w:rsidR="00F6595D">
        <w:rPr>
          <w:sz w:val="20"/>
          <w:szCs w:val="20"/>
        </w:rPr>
        <w:t xml:space="preserve"> </w:t>
      </w:r>
      <w:r w:rsidR="008A5E12">
        <w:rPr>
          <w:sz w:val="20"/>
          <w:szCs w:val="20"/>
        </w:rPr>
        <w:t>kwietnia</w:t>
      </w:r>
      <w:r w:rsidRPr="007D45FB">
        <w:rPr>
          <w:sz w:val="20"/>
          <w:szCs w:val="20"/>
        </w:rPr>
        <w:t xml:space="preserve"> 202</w:t>
      </w:r>
      <w:r w:rsidR="00F6595D">
        <w:rPr>
          <w:sz w:val="20"/>
          <w:szCs w:val="20"/>
        </w:rPr>
        <w:t>1</w:t>
      </w:r>
      <w:r w:rsidRPr="007D45FB">
        <w:rPr>
          <w:sz w:val="20"/>
          <w:szCs w:val="20"/>
        </w:rPr>
        <w:t xml:space="preserve"> r.</w:t>
      </w:r>
    </w:p>
    <w:p w14:paraId="7A524CF7" w14:textId="3008D09E" w:rsidR="00676CFA" w:rsidRDefault="00F21ECC" w:rsidP="00252025">
      <w:pPr>
        <w:spacing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C732D5">
        <w:rPr>
          <w:b/>
          <w:bCs/>
          <w:sz w:val="28"/>
          <w:szCs w:val="28"/>
        </w:rPr>
        <w:t>omysł</w:t>
      </w:r>
      <w:r>
        <w:rPr>
          <w:b/>
          <w:bCs/>
          <w:sz w:val="28"/>
          <w:szCs w:val="28"/>
        </w:rPr>
        <w:t>y n</w:t>
      </w:r>
      <w:r w:rsidR="00C732D5">
        <w:rPr>
          <w:b/>
          <w:bCs/>
          <w:sz w:val="28"/>
          <w:szCs w:val="28"/>
        </w:rPr>
        <w:t>a pomoc r</w:t>
      </w:r>
      <w:r w:rsidR="008F7F7E" w:rsidRPr="007D45FB">
        <w:rPr>
          <w:b/>
          <w:bCs/>
          <w:sz w:val="28"/>
          <w:szCs w:val="28"/>
        </w:rPr>
        <w:t>estaurator</w:t>
      </w:r>
      <w:r w:rsidR="00C732D5">
        <w:rPr>
          <w:b/>
          <w:bCs/>
          <w:sz w:val="28"/>
          <w:szCs w:val="28"/>
        </w:rPr>
        <w:t>om, któr</w:t>
      </w:r>
      <w:r w:rsidR="008F7F7E" w:rsidRPr="007D45FB">
        <w:rPr>
          <w:b/>
          <w:bCs/>
          <w:sz w:val="28"/>
          <w:szCs w:val="28"/>
        </w:rPr>
        <w:t xml:space="preserve">zy mają </w:t>
      </w:r>
      <w:r w:rsidR="00C732D5">
        <w:rPr>
          <w:b/>
          <w:bCs/>
          <w:sz w:val="28"/>
          <w:szCs w:val="28"/>
        </w:rPr>
        <w:t xml:space="preserve">715 </w:t>
      </w:r>
      <w:r w:rsidR="008F7F7E" w:rsidRPr="007D45FB">
        <w:rPr>
          <w:b/>
          <w:bCs/>
          <w:sz w:val="28"/>
          <w:szCs w:val="28"/>
        </w:rPr>
        <w:t>mln zł zaległości</w:t>
      </w:r>
    </w:p>
    <w:p w14:paraId="6E54977C" w14:textId="68BDB549" w:rsidR="00C732D5" w:rsidRPr="00C732D5" w:rsidRDefault="00C732D5" w:rsidP="00BD3B74">
      <w:pPr>
        <w:spacing w:before="240" w:after="240"/>
        <w:jc w:val="both"/>
        <w:rPr>
          <w:b/>
          <w:bCs/>
          <w:szCs w:val="23"/>
        </w:rPr>
      </w:pPr>
      <w:r w:rsidRPr="00C732D5">
        <w:rPr>
          <w:b/>
          <w:bCs/>
          <w:szCs w:val="23"/>
        </w:rPr>
        <w:t xml:space="preserve">Za chwilę minie pół </w:t>
      </w:r>
      <w:proofErr w:type="gramStart"/>
      <w:r w:rsidRPr="00C732D5">
        <w:rPr>
          <w:b/>
          <w:bCs/>
          <w:szCs w:val="23"/>
        </w:rPr>
        <w:t>roku</w:t>
      </w:r>
      <w:proofErr w:type="gramEnd"/>
      <w:r w:rsidRPr="00C732D5">
        <w:rPr>
          <w:b/>
          <w:bCs/>
          <w:szCs w:val="23"/>
        </w:rPr>
        <w:t xml:space="preserve"> odkąd lokale gastronomiczne mogą działać najwyżej z ofertą na wynos. Drzwi przed gośćmi są zamknięte, a zaległości branży rosną, w 11 miesięcy pandemii od kwietnia do lutego podwyższyły się o jedną dziesiąt</w:t>
      </w:r>
      <w:r w:rsidR="00C43F8E">
        <w:rPr>
          <w:b/>
          <w:bCs/>
          <w:szCs w:val="23"/>
        </w:rPr>
        <w:t>ą,</w:t>
      </w:r>
      <w:r w:rsidRPr="00C732D5">
        <w:rPr>
          <w:b/>
          <w:bCs/>
          <w:szCs w:val="23"/>
        </w:rPr>
        <w:t xml:space="preserve"> do prawie 715 mln zł</w:t>
      </w:r>
      <w:r w:rsidR="008A5E12">
        <w:rPr>
          <w:b/>
          <w:bCs/>
          <w:szCs w:val="23"/>
        </w:rPr>
        <w:t xml:space="preserve">. </w:t>
      </w:r>
      <w:r w:rsidRPr="00C732D5">
        <w:rPr>
          <w:b/>
          <w:bCs/>
          <w:szCs w:val="23"/>
        </w:rPr>
        <w:t>7 na 10 firm określa swoją kondycję finansową jako słabą i złą</w:t>
      </w:r>
      <w:r>
        <w:rPr>
          <w:b/>
          <w:bCs/>
          <w:szCs w:val="23"/>
        </w:rPr>
        <w:t xml:space="preserve">, wynika z danych </w:t>
      </w:r>
      <w:r w:rsidR="00DA7207">
        <w:rPr>
          <w:b/>
          <w:bCs/>
          <w:szCs w:val="23"/>
        </w:rPr>
        <w:t xml:space="preserve">Rejestru Dłużników </w:t>
      </w:r>
      <w:r>
        <w:rPr>
          <w:b/>
          <w:bCs/>
          <w:szCs w:val="23"/>
        </w:rPr>
        <w:t>BIG InfoMonitor oraz</w:t>
      </w:r>
      <w:r w:rsidR="008A5E12" w:rsidRPr="008A5E12">
        <w:t xml:space="preserve"> </w:t>
      </w:r>
      <w:proofErr w:type="spellStart"/>
      <w:r w:rsidR="008A5E12" w:rsidRPr="008A5E12">
        <w:rPr>
          <w:b/>
          <w:bCs/>
        </w:rPr>
        <w:t>Dun</w:t>
      </w:r>
      <w:proofErr w:type="spellEnd"/>
      <w:r w:rsidR="008A5E12" w:rsidRPr="008A5E12">
        <w:rPr>
          <w:b/>
          <w:bCs/>
        </w:rPr>
        <w:t xml:space="preserve"> </w:t>
      </w:r>
      <w:r w:rsidR="008D2568">
        <w:rPr>
          <w:b/>
          <w:bCs/>
        </w:rPr>
        <w:t>&amp;</w:t>
      </w:r>
      <w:r w:rsidR="008A5E12" w:rsidRPr="008A5E12">
        <w:rPr>
          <w:b/>
          <w:bCs/>
        </w:rPr>
        <w:t xml:space="preserve"> </w:t>
      </w:r>
      <w:proofErr w:type="spellStart"/>
      <w:r w:rsidR="008A5E12" w:rsidRPr="008A5E12">
        <w:rPr>
          <w:b/>
          <w:bCs/>
        </w:rPr>
        <w:t>Bradstreet</w:t>
      </w:r>
      <w:proofErr w:type="spellEnd"/>
      <w:r w:rsidRPr="008A5E12">
        <w:rPr>
          <w:b/>
          <w:bCs/>
          <w:szCs w:val="23"/>
        </w:rPr>
        <w:t>. Im bardziej pogarsza się sytuacja restauratorów</w:t>
      </w:r>
      <w:r w:rsidR="00C43F8E">
        <w:rPr>
          <w:b/>
          <w:bCs/>
          <w:szCs w:val="23"/>
        </w:rPr>
        <w:t>,</w:t>
      </w:r>
      <w:r w:rsidRPr="008A5E12">
        <w:rPr>
          <w:b/>
          <w:bCs/>
          <w:szCs w:val="23"/>
        </w:rPr>
        <w:t xml:space="preserve"> tym więcej pojawia się</w:t>
      </w:r>
      <w:r w:rsidRPr="00C732D5">
        <w:rPr>
          <w:b/>
          <w:bCs/>
          <w:szCs w:val="23"/>
        </w:rPr>
        <w:t xml:space="preserve"> pomysłów na specjalną pomoc</w:t>
      </w:r>
      <w:r>
        <w:rPr>
          <w:b/>
          <w:bCs/>
          <w:szCs w:val="23"/>
        </w:rPr>
        <w:t xml:space="preserve"> dla nich</w:t>
      </w:r>
      <w:r w:rsidRPr="00C732D5">
        <w:rPr>
          <w:b/>
          <w:bCs/>
          <w:szCs w:val="23"/>
        </w:rPr>
        <w:t>, od obniżki VAT, przez bony gastronomiczne</w:t>
      </w:r>
      <w:r w:rsidR="00C43F8E">
        <w:rPr>
          <w:b/>
          <w:bCs/>
          <w:szCs w:val="23"/>
        </w:rPr>
        <w:t>,</w:t>
      </w:r>
      <w:r w:rsidRPr="00C732D5">
        <w:rPr>
          <w:b/>
          <w:bCs/>
          <w:szCs w:val="23"/>
        </w:rPr>
        <w:t xml:space="preserve"> do otwierania ogródków. Na razie jednak żaden jeszcze nie działa. </w:t>
      </w:r>
    </w:p>
    <w:p w14:paraId="619659FF" w14:textId="1C2571FC" w:rsidR="00655A1D" w:rsidRDefault="00655A1D" w:rsidP="00275B04">
      <w:pPr>
        <w:spacing w:after="120"/>
        <w:jc w:val="both"/>
        <w:rPr>
          <w:szCs w:val="23"/>
        </w:rPr>
      </w:pPr>
      <w:r w:rsidRPr="007D45FB">
        <w:rPr>
          <w:szCs w:val="23"/>
        </w:rPr>
        <w:t>Jak wynika z analiz Izby Gospodarczej Gastronomii Polskiej (IGGP) w minionym roku sektor gastro mógł stracić nawet 30 mld zł</w:t>
      </w:r>
      <w:r w:rsidR="005453B8">
        <w:rPr>
          <w:szCs w:val="23"/>
        </w:rPr>
        <w:t xml:space="preserve">. </w:t>
      </w:r>
      <w:r w:rsidRPr="007D45FB">
        <w:rPr>
          <w:szCs w:val="23"/>
        </w:rPr>
        <w:t xml:space="preserve">Organizacja szacuje, że </w:t>
      </w:r>
      <w:r w:rsidR="00C732D5">
        <w:rPr>
          <w:szCs w:val="23"/>
        </w:rPr>
        <w:t xml:space="preserve">gdyby </w:t>
      </w:r>
      <w:r w:rsidR="00121ED5">
        <w:rPr>
          <w:szCs w:val="23"/>
        </w:rPr>
        <w:t>w najbliższym czasie ograniczenia zosta</w:t>
      </w:r>
      <w:r w:rsidR="00C732D5">
        <w:rPr>
          <w:szCs w:val="23"/>
        </w:rPr>
        <w:t xml:space="preserve">ły mimo wszystko </w:t>
      </w:r>
      <w:r w:rsidR="00121ED5">
        <w:rPr>
          <w:szCs w:val="23"/>
        </w:rPr>
        <w:t>zniesione,</w:t>
      </w:r>
      <w:r w:rsidR="00C732D5">
        <w:rPr>
          <w:szCs w:val="23"/>
        </w:rPr>
        <w:t xml:space="preserve"> to</w:t>
      </w:r>
      <w:r w:rsidR="00121ED5">
        <w:rPr>
          <w:szCs w:val="23"/>
        </w:rPr>
        <w:t xml:space="preserve"> </w:t>
      </w:r>
      <w:r w:rsidRPr="007D45FB">
        <w:rPr>
          <w:szCs w:val="23"/>
        </w:rPr>
        <w:t xml:space="preserve">dla 15 tys. </w:t>
      </w:r>
      <w:r w:rsidR="00121ED5">
        <w:rPr>
          <w:szCs w:val="23"/>
        </w:rPr>
        <w:t xml:space="preserve">restauratorów </w:t>
      </w:r>
      <w:r w:rsidRPr="007D45FB">
        <w:rPr>
          <w:szCs w:val="23"/>
        </w:rPr>
        <w:t>może być już za późno – t</w:t>
      </w:r>
      <w:r w:rsidR="00121ED5">
        <w:rPr>
          <w:szCs w:val="23"/>
        </w:rPr>
        <w:t xml:space="preserve">aka sytuacja dotknęłaby więcej niż </w:t>
      </w:r>
      <w:r w:rsidRPr="007D45FB">
        <w:rPr>
          <w:szCs w:val="23"/>
        </w:rPr>
        <w:t>co piąty lokal</w:t>
      </w:r>
      <w:r w:rsidR="00121ED5">
        <w:rPr>
          <w:szCs w:val="23"/>
        </w:rPr>
        <w:t xml:space="preserve">. Konsekwencje mogą też być mocno odczuwalne </w:t>
      </w:r>
      <w:r w:rsidR="00DC4D16">
        <w:rPr>
          <w:szCs w:val="23"/>
        </w:rPr>
        <w:t>w</w:t>
      </w:r>
      <w:r w:rsidR="00C43F8E">
        <w:rPr>
          <w:szCs w:val="23"/>
        </w:rPr>
        <w:t> </w:t>
      </w:r>
      <w:r w:rsidR="004263D4">
        <w:rPr>
          <w:szCs w:val="23"/>
        </w:rPr>
        <w:t xml:space="preserve">zatrudnieniu. </w:t>
      </w:r>
      <w:r w:rsidRPr="007D45FB">
        <w:rPr>
          <w:szCs w:val="23"/>
        </w:rPr>
        <w:t>Z około miliona osób, które pracują w gastronomii, pracę może stracić nawet 250</w:t>
      </w:r>
      <w:r w:rsidR="00C43F8E">
        <w:rPr>
          <w:szCs w:val="23"/>
        </w:rPr>
        <w:t> </w:t>
      </w:r>
      <w:r w:rsidRPr="007D45FB">
        <w:rPr>
          <w:szCs w:val="23"/>
        </w:rPr>
        <w:t>tys</w:t>
      </w:r>
      <w:r w:rsidR="004263D4">
        <w:rPr>
          <w:szCs w:val="23"/>
        </w:rPr>
        <w:t>.</w:t>
      </w:r>
    </w:p>
    <w:p w14:paraId="19D57F86" w14:textId="3A19AF9D" w:rsidR="00F31F61" w:rsidRDefault="004263D4" w:rsidP="00DC4D16">
      <w:pPr>
        <w:spacing w:after="120"/>
        <w:jc w:val="both"/>
        <w:rPr>
          <w:szCs w:val="23"/>
        </w:rPr>
      </w:pPr>
      <w:r w:rsidRPr="00DC4D16">
        <w:rPr>
          <w:szCs w:val="23"/>
        </w:rPr>
        <w:t>–</w:t>
      </w:r>
      <w:r>
        <w:rPr>
          <w:szCs w:val="23"/>
        </w:rPr>
        <w:t xml:space="preserve"> </w:t>
      </w:r>
      <w:proofErr w:type="spellStart"/>
      <w:r w:rsidR="00AA2C38" w:rsidRPr="00AC4BDB">
        <w:rPr>
          <w:i/>
          <w:iCs/>
          <w:szCs w:val="23"/>
        </w:rPr>
        <w:t>Lockdown</w:t>
      </w:r>
      <w:proofErr w:type="spellEnd"/>
      <w:r w:rsidR="00AA2C38" w:rsidRPr="00AC4BDB">
        <w:rPr>
          <w:i/>
          <w:iCs/>
          <w:szCs w:val="23"/>
        </w:rPr>
        <w:t xml:space="preserve"> obowiązywał gastronomię w minionym roku od marca do </w:t>
      </w:r>
      <w:proofErr w:type="gramStart"/>
      <w:r w:rsidR="00AA2C38" w:rsidRPr="00AC4BDB">
        <w:rPr>
          <w:i/>
          <w:iCs/>
          <w:szCs w:val="23"/>
        </w:rPr>
        <w:t>maja</w:t>
      </w:r>
      <w:proofErr w:type="gramEnd"/>
      <w:r w:rsidR="00C732D5">
        <w:rPr>
          <w:i/>
          <w:iCs/>
          <w:szCs w:val="23"/>
        </w:rPr>
        <w:t xml:space="preserve">, </w:t>
      </w:r>
      <w:r w:rsidR="00AA2C38" w:rsidRPr="00AC4BDB">
        <w:rPr>
          <w:i/>
          <w:iCs/>
          <w:szCs w:val="23"/>
        </w:rPr>
        <w:t>ponownie</w:t>
      </w:r>
      <w:r w:rsidR="00C732D5">
        <w:rPr>
          <w:i/>
          <w:iCs/>
          <w:szCs w:val="23"/>
        </w:rPr>
        <w:t xml:space="preserve"> zadziałał</w:t>
      </w:r>
      <w:r w:rsidR="00AA2C38" w:rsidRPr="00AC4BDB">
        <w:rPr>
          <w:i/>
          <w:iCs/>
          <w:szCs w:val="23"/>
        </w:rPr>
        <w:t xml:space="preserve"> od </w:t>
      </w:r>
      <w:r w:rsidR="00C732D5">
        <w:rPr>
          <w:i/>
          <w:iCs/>
          <w:szCs w:val="23"/>
        </w:rPr>
        <w:t>24</w:t>
      </w:r>
      <w:r w:rsidR="00AA2C38" w:rsidRPr="00AC4BDB">
        <w:rPr>
          <w:i/>
          <w:iCs/>
          <w:szCs w:val="23"/>
        </w:rPr>
        <w:t xml:space="preserve"> października i nic nie wskazuje, żeby w najbliższym czasie miał się skończyć</w:t>
      </w:r>
      <w:r w:rsidR="00AC4BDB" w:rsidRPr="00AC4BDB">
        <w:rPr>
          <w:i/>
          <w:iCs/>
          <w:szCs w:val="23"/>
        </w:rPr>
        <w:t>.</w:t>
      </w:r>
      <w:r w:rsidR="00886F3B">
        <w:rPr>
          <w:i/>
          <w:iCs/>
          <w:szCs w:val="23"/>
        </w:rPr>
        <w:t xml:space="preserve"> Niektóre </w:t>
      </w:r>
      <w:r w:rsidR="004E0545">
        <w:rPr>
          <w:i/>
          <w:iCs/>
          <w:szCs w:val="23"/>
        </w:rPr>
        <w:t>lokal</w:t>
      </w:r>
      <w:r w:rsidR="00886F3B">
        <w:rPr>
          <w:i/>
          <w:iCs/>
          <w:szCs w:val="23"/>
        </w:rPr>
        <w:t>e</w:t>
      </w:r>
      <w:r w:rsidR="004E0545">
        <w:rPr>
          <w:i/>
          <w:iCs/>
          <w:szCs w:val="23"/>
        </w:rPr>
        <w:t xml:space="preserve"> prowadz</w:t>
      </w:r>
      <w:r w:rsidR="00886F3B">
        <w:rPr>
          <w:i/>
          <w:iCs/>
          <w:szCs w:val="23"/>
        </w:rPr>
        <w:t>ą s</w:t>
      </w:r>
      <w:r w:rsidR="004E0545">
        <w:rPr>
          <w:i/>
          <w:iCs/>
          <w:szCs w:val="23"/>
        </w:rPr>
        <w:t>przedaż na wynos</w:t>
      </w:r>
      <w:r w:rsidR="00C732D5">
        <w:rPr>
          <w:i/>
          <w:iCs/>
          <w:szCs w:val="23"/>
        </w:rPr>
        <w:t>,</w:t>
      </w:r>
      <w:r w:rsidR="00886F3B">
        <w:rPr>
          <w:i/>
          <w:iCs/>
          <w:szCs w:val="23"/>
        </w:rPr>
        <w:t xml:space="preserve"> częściowo rekompensując </w:t>
      </w:r>
      <w:r w:rsidR="006E7366">
        <w:rPr>
          <w:i/>
          <w:iCs/>
          <w:szCs w:val="23"/>
        </w:rPr>
        <w:t xml:space="preserve">sobie w ten sposób </w:t>
      </w:r>
      <w:r w:rsidR="00886F3B">
        <w:rPr>
          <w:i/>
          <w:iCs/>
          <w:szCs w:val="23"/>
        </w:rPr>
        <w:t xml:space="preserve">spadek </w:t>
      </w:r>
      <w:r w:rsidR="006E7366">
        <w:rPr>
          <w:i/>
          <w:iCs/>
          <w:szCs w:val="23"/>
        </w:rPr>
        <w:t>obrotów</w:t>
      </w:r>
      <w:r w:rsidR="004E0545">
        <w:rPr>
          <w:i/>
          <w:iCs/>
          <w:szCs w:val="23"/>
        </w:rPr>
        <w:t>.</w:t>
      </w:r>
      <w:r w:rsidR="003E54F0">
        <w:rPr>
          <w:i/>
          <w:iCs/>
          <w:szCs w:val="23"/>
        </w:rPr>
        <w:t xml:space="preserve"> </w:t>
      </w:r>
      <w:r w:rsidR="004E0545">
        <w:rPr>
          <w:i/>
          <w:iCs/>
          <w:szCs w:val="23"/>
        </w:rPr>
        <w:t xml:space="preserve">Ich trudna sytuacja skłoniła władze do </w:t>
      </w:r>
      <w:r w:rsidR="00886F3B">
        <w:rPr>
          <w:i/>
          <w:iCs/>
          <w:szCs w:val="23"/>
        </w:rPr>
        <w:t xml:space="preserve">wyjścia z pomysłem </w:t>
      </w:r>
      <w:r w:rsidR="004E0545">
        <w:rPr>
          <w:i/>
          <w:iCs/>
          <w:szCs w:val="23"/>
        </w:rPr>
        <w:t xml:space="preserve">czasowego </w:t>
      </w:r>
      <w:r w:rsidR="00252025" w:rsidRPr="004263D4">
        <w:rPr>
          <w:i/>
          <w:iCs/>
          <w:szCs w:val="23"/>
        </w:rPr>
        <w:t>obniż</w:t>
      </w:r>
      <w:r w:rsidR="00252025">
        <w:rPr>
          <w:i/>
          <w:iCs/>
          <w:szCs w:val="23"/>
        </w:rPr>
        <w:t xml:space="preserve">enia </w:t>
      </w:r>
      <w:r w:rsidR="00252025" w:rsidRPr="004263D4">
        <w:rPr>
          <w:i/>
          <w:iCs/>
          <w:szCs w:val="23"/>
        </w:rPr>
        <w:t>podatku VAT</w:t>
      </w:r>
      <w:r w:rsidR="00C732D5">
        <w:rPr>
          <w:i/>
          <w:iCs/>
          <w:szCs w:val="23"/>
        </w:rPr>
        <w:t xml:space="preserve"> </w:t>
      </w:r>
      <w:r w:rsidR="004E0545">
        <w:rPr>
          <w:i/>
          <w:iCs/>
          <w:szCs w:val="23"/>
        </w:rPr>
        <w:t xml:space="preserve">na usługi gastronomiczne, a także </w:t>
      </w:r>
      <w:r w:rsidRPr="004263D4">
        <w:rPr>
          <w:i/>
          <w:iCs/>
          <w:szCs w:val="23"/>
        </w:rPr>
        <w:t>wprowadzeni</w:t>
      </w:r>
      <w:r w:rsidR="00252025">
        <w:rPr>
          <w:i/>
          <w:iCs/>
          <w:szCs w:val="23"/>
        </w:rPr>
        <w:t>a</w:t>
      </w:r>
      <w:r w:rsidRPr="004263D4">
        <w:rPr>
          <w:i/>
          <w:iCs/>
          <w:szCs w:val="23"/>
        </w:rPr>
        <w:t xml:space="preserve"> </w:t>
      </w:r>
      <w:r w:rsidR="004E0545">
        <w:rPr>
          <w:i/>
          <w:iCs/>
          <w:szCs w:val="23"/>
        </w:rPr>
        <w:t>na wzór bonów turystycznych</w:t>
      </w:r>
      <w:r w:rsidR="006E7366">
        <w:rPr>
          <w:i/>
          <w:iCs/>
          <w:szCs w:val="23"/>
        </w:rPr>
        <w:t xml:space="preserve"> </w:t>
      </w:r>
      <w:r w:rsidR="006E7366" w:rsidRPr="004263D4">
        <w:rPr>
          <w:i/>
          <w:iCs/>
          <w:szCs w:val="23"/>
        </w:rPr>
        <w:t>bonów żywnościowych</w:t>
      </w:r>
      <w:r w:rsidR="00C732D5">
        <w:rPr>
          <w:i/>
          <w:iCs/>
          <w:szCs w:val="23"/>
        </w:rPr>
        <w:t>. Pojawiają się</w:t>
      </w:r>
      <w:r w:rsidR="008A5E12">
        <w:rPr>
          <w:i/>
          <w:iCs/>
          <w:szCs w:val="23"/>
        </w:rPr>
        <w:t xml:space="preserve"> również</w:t>
      </w:r>
      <w:r w:rsidR="00C732D5">
        <w:rPr>
          <w:i/>
          <w:iCs/>
          <w:szCs w:val="23"/>
        </w:rPr>
        <w:t xml:space="preserve"> zapowiedzi otwarcia ogródków </w:t>
      </w:r>
      <w:r w:rsidR="00DC4D16" w:rsidRPr="00DC4D16">
        <w:rPr>
          <w:szCs w:val="23"/>
        </w:rPr>
        <w:t xml:space="preserve">– </w:t>
      </w:r>
      <w:r w:rsidR="00DC4D16">
        <w:rPr>
          <w:szCs w:val="23"/>
        </w:rPr>
        <w:t>mówi</w:t>
      </w:r>
      <w:r w:rsidR="00DC4D16" w:rsidRPr="00DC4D16">
        <w:rPr>
          <w:szCs w:val="23"/>
        </w:rPr>
        <w:t xml:space="preserve"> </w:t>
      </w:r>
      <w:r w:rsidR="00DC4D16" w:rsidRPr="00DC4D16">
        <w:rPr>
          <w:b/>
          <w:bCs/>
          <w:szCs w:val="23"/>
        </w:rPr>
        <w:t>Sławomir Grzelczak</w:t>
      </w:r>
      <w:r w:rsidR="00DC4D16" w:rsidRPr="00DC4D16">
        <w:rPr>
          <w:szCs w:val="23"/>
        </w:rPr>
        <w:t>, prezes BIG InfoMonitor.</w:t>
      </w:r>
      <w:r w:rsidR="00C732D5">
        <w:rPr>
          <w:szCs w:val="23"/>
        </w:rPr>
        <w:t xml:space="preserve"> </w:t>
      </w:r>
      <w:r w:rsidR="00F31F61" w:rsidRPr="00F31F61">
        <w:rPr>
          <w:szCs w:val="23"/>
        </w:rPr>
        <w:t>–</w:t>
      </w:r>
      <w:r w:rsidR="005453B8">
        <w:rPr>
          <w:szCs w:val="23"/>
        </w:rPr>
        <w:t xml:space="preserve"> </w:t>
      </w:r>
      <w:r w:rsidR="00C732D5" w:rsidRPr="005453B8">
        <w:rPr>
          <w:i/>
          <w:iCs/>
          <w:szCs w:val="23"/>
        </w:rPr>
        <w:t>Branża, która nigdy nie był</w:t>
      </w:r>
      <w:r w:rsidR="00406731">
        <w:rPr>
          <w:i/>
          <w:iCs/>
          <w:szCs w:val="23"/>
        </w:rPr>
        <w:t>a</w:t>
      </w:r>
      <w:r w:rsidR="00C732D5" w:rsidRPr="005453B8">
        <w:rPr>
          <w:i/>
          <w:iCs/>
          <w:szCs w:val="23"/>
        </w:rPr>
        <w:t xml:space="preserve"> prymusem</w:t>
      </w:r>
      <w:r w:rsidR="00F31F61">
        <w:rPr>
          <w:i/>
          <w:iCs/>
          <w:szCs w:val="23"/>
        </w:rPr>
        <w:t>,</w:t>
      </w:r>
      <w:r w:rsidR="00C732D5" w:rsidRPr="005453B8">
        <w:rPr>
          <w:i/>
          <w:iCs/>
          <w:szCs w:val="23"/>
        </w:rPr>
        <w:t xml:space="preserve"> jeśli chodzi o jakość rozliczeń z dostawcami i instytucjami finansowymi</w:t>
      </w:r>
      <w:r w:rsidR="00DA7207" w:rsidRPr="005453B8">
        <w:rPr>
          <w:i/>
          <w:iCs/>
          <w:szCs w:val="23"/>
        </w:rPr>
        <w:t xml:space="preserve">, </w:t>
      </w:r>
      <w:r w:rsidR="00C732D5" w:rsidRPr="005453B8">
        <w:rPr>
          <w:i/>
          <w:iCs/>
          <w:szCs w:val="23"/>
        </w:rPr>
        <w:t>w pandemii powiększa zaległości na jeszcze większą skalę. Jej przeterminowane zobowiązania wobec kontrahentów</w:t>
      </w:r>
      <w:r w:rsidR="00406731">
        <w:rPr>
          <w:i/>
          <w:iCs/>
          <w:szCs w:val="23"/>
        </w:rPr>
        <w:t>,</w:t>
      </w:r>
      <w:r w:rsidR="00C732D5" w:rsidRPr="005453B8">
        <w:rPr>
          <w:i/>
          <w:iCs/>
          <w:szCs w:val="23"/>
        </w:rPr>
        <w:t xml:space="preserve"> w ciągu 11 miesięcy </w:t>
      </w:r>
      <w:r w:rsidR="00F21ECC" w:rsidRPr="005453B8">
        <w:rPr>
          <w:i/>
          <w:iCs/>
          <w:szCs w:val="23"/>
        </w:rPr>
        <w:t>różnego rodzaju ograniczeń</w:t>
      </w:r>
      <w:r w:rsidR="00406731">
        <w:rPr>
          <w:i/>
          <w:iCs/>
          <w:szCs w:val="23"/>
        </w:rPr>
        <w:t>,</w:t>
      </w:r>
      <w:r w:rsidR="00F21ECC" w:rsidRPr="005453B8">
        <w:rPr>
          <w:i/>
          <w:iCs/>
          <w:szCs w:val="23"/>
        </w:rPr>
        <w:t xml:space="preserve"> u</w:t>
      </w:r>
      <w:r w:rsidR="00C732D5" w:rsidRPr="005453B8">
        <w:rPr>
          <w:i/>
          <w:iCs/>
          <w:szCs w:val="23"/>
        </w:rPr>
        <w:t>rosły dwa razy szybciej niż w przypadku ogółu firm</w:t>
      </w:r>
      <w:r w:rsidR="005453B8">
        <w:rPr>
          <w:szCs w:val="23"/>
        </w:rPr>
        <w:t xml:space="preserve"> – dodaje</w:t>
      </w:r>
      <w:r w:rsidR="00F31F61">
        <w:rPr>
          <w:szCs w:val="23"/>
        </w:rPr>
        <w:t>.</w:t>
      </w:r>
    </w:p>
    <w:p w14:paraId="0DD7F53D" w14:textId="26D7A11D" w:rsidR="006727DD" w:rsidRDefault="00C732D5" w:rsidP="00DC4D16">
      <w:pPr>
        <w:spacing w:after="120"/>
        <w:jc w:val="both"/>
        <w:rPr>
          <w:szCs w:val="23"/>
        </w:rPr>
      </w:pPr>
      <w:r>
        <w:rPr>
          <w:szCs w:val="23"/>
        </w:rPr>
        <w:t xml:space="preserve">Gdy w </w:t>
      </w:r>
      <w:r w:rsidR="006727DD">
        <w:rPr>
          <w:szCs w:val="23"/>
        </w:rPr>
        <w:t xml:space="preserve">okresie od końca marca ub.r. do końca </w:t>
      </w:r>
      <w:r>
        <w:rPr>
          <w:szCs w:val="23"/>
        </w:rPr>
        <w:t xml:space="preserve">lutego </w:t>
      </w:r>
      <w:r w:rsidR="006727DD">
        <w:rPr>
          <w:szCs w:val="23"/>
        </w:rPr>
        <w:t xml:space="preserve">tego roku zaległości wszystkich </w:t>
      </w:r>
      <w:r>
        <w:rPr>
          <w:szCs w:val="23"/>
        </w:rPr>
        <w:t>podmiotów</w:t>
      </w:r>
      <w:r w:rsidR="006727DD">
        <w:rPr>
          <w:szCs w:val="23"/>
        </w:rPr>
        <w:t xml:space="preserve"> notowanych w Rejestrze Dłużników BIG InfoMonitor oraz w BIK </w:t>
      </w:r>
      <w:r>
        <w:rPr>
          <w:szCs w:val="23"/>
        </w:rPr>
        <w:t xml:space="preserve">podwyższyły się </w:t>
      </w:r>
      <w:r w:rsidR="006727DD">
        <w:rPr>
          <w:szCs w:val="23"/>
        </w:rPr>
        <w:t xml:space="preserve">o </w:t>
      </w:r>
      <w:r>
        <w:rPr>
          <w:szCs w:val="23"/>
        </w:rPr>
        <w:t>5</w:t>
      </w:r>
      <w:r w:rsidR="006727DD">
        <w:rPr>
          <w:szCs w:val="23"/>
        </w:rPr>
        <w:t>,</w:t>
      </w:r>
      <w:r>
        <w:rPr>
          <w:szCs w:val="23"/>
        </w:rPr>
        <w:t>4</w:t>
      </w:r>
      <w:r w:rsidR="006727DD">
        <w:rPr>
          <w:szCs w:val="23"/>
        </w:rPr>
        <w:t xml:space="preserve"> proc.</w:t>
      </w:r>
      <w:r>
        <w:rPr>
          <w:szCs w:val="23"/>
        </w:rPr>
        <w:t>, w</w:t>
      </w:r>
      <w:r w:rsidR="00F31F61">
        <w:rPr>
          <w:szCs w:val="23"/>
        </w:rPr>
        <w:t> </w:t>
      </w:r>
      <w:r>
        <w:rPr>
          <w:szCs w:val="23"/>
        </w:rPr>
        <w:t xml:space="preserve">przypadku gastronomii było to 10,4 proc. </w:t>
      </w:r>
      <w:r w:rsidR="00F31F61">
        <w:rPr>
          <w:szCs w:val="23"/>
        </w:rPr>
        <w:t>–</w:t>
      </w:r>
      <w:r>
        <w:rPr>
          <w:szCs w:val="23"/>
        </w:rPr>
        <w:t xml:space="preserve"> </w:t>
      </w:r>
      <w:r w:rsidRPr="00244A20">
        <w:rPr>
          <w:i/>
          <w:iCs/>
          <w:szCs w:val="23"/>
        </w:rPr>
        <w:t xml:space="preserve">Wprawdzie </w:t>
      </w:r>
      <w:r>
        <w:rPr>
          <w:i/>
          <w:iCs/>
          <w:szCs w:val="23"/>
        </w:rPr>
        <w:t xml:space="preserve">zmiana ta jest daleka </w:t>
      </w:r>
      <w:r w:rsidRPr="00244A20">
        <w:rPr>
          <w:i/>
          <w:iCs/>
          <w:szCs w:val="23"/>
        </w:rPr>
        <w:t>od</w:t>
      </w:r>
      <w:r>
        <w:rPr>
          <w:i/>
          <w:iCs/>
          <w:szCs w:val="23"/>
        </w:rPr>
        <w:t xml:space="preserve"> </w:t>
      </w:r>
      <w:r w:rsidRPr="00244A20">
        <w:rPr>
          <w:i/>
          <w:iCs/>
          <w:szCs w:val="23"/>
        </w:rPr>
        <w:t>2</w:t>
      </w:r>
      <w:r>
        <w:rPr>
          <w:i/>
          <w:iCs/>
          <w:szCs w:val="23"/>
        </w:rPr>
        <w:t>6</w:t>
      </w:r>
      <w:r w:rsidRPr="00244A20">
        <w:rPr>
          <w:i/>
          <w:iCs/>
          <w:szCs w:val="23"/>
        </w:rPr>
        <w:t xml:space="preserve"> proc. </w:t>
      </w:r>
      <w:r>
        <w:rPr>
          <w:i/>
          <w:iCs/>
          <w:szCs w:val="23"/>
        </w:rPr>
        <w:t>od</w:t>
      </w:r>
      <w:r w:rsidRPr="00244A20">
        <w:rPr>
          <w:i/>
          <w:iCs/>
          <w:szCs w:val="23"/>
        </w:rPr>
        <w:t>notowan</w:t>
      </w:r>
      <w:r>
        <w:rPr>
          <w:i/>
          <w:iCs/>
          <w:szCs w:val="23"/>
        </w:rPr>
        <w:t xml:space="preserve">ych </w:t>
      </w:r>
      <w:r w:rsidRPr="00244A20">
        <w:rPr>
          <w:i/>
          <w:iCs/>
          <w:szCs w:val="23"/>
        </w:rPr>
        <w:t>w turystyce czy niemal 40 proc. w wynajmie maszyn</w:t>
      </w:r>
      <w:r>
        <w:rPr>
          <w:i/>
          <w:iCs/>
          <w:szCs w:val="23"/>
        </w:rPr>
        <w:t>,</w:t>
      </w:r>
      <w:r w:rsidRPr="00244A20">
        <w:rPr>
          <w:i/>
          <w:iCs/>
          <w:szCs w:val="23"/>
        </w:rPr>
        <w:t xml:space="preserve"> urządzeń</w:t>
      </w:r>
      <w:r>
        <w:rPr>
          <w:i/>
          <w:iCs/>
          <w:szCs w:val="23"/>
        </w:rPr>
        <w:t xml:space="preserve"> i pojazdów</w:t>
      </w:r>
      <w:r w:rsidRPr="00244A20">
        <w:rPr>
          <w:i/>
          <w:iCs/>
          <w:szCs w:val="23"/>
        </w:rPr>
        <w:t>, ale i tak jest niepokojąc</w:t>
      </w:r>
      <w:r>
        <w:rPr>
          <w:i/>
          <w:iCs/>
          <w:szCs w:val="23"/>
        </w:rPr>
        <w:t>a</w:t>
      </w:r>
      <w:r>
        <w:rPr>
          <w:szCs w:val="23"/>
        </w:rPr>
        <w:t xml:space="preserve"> – </w:t>
      </w:r>
      <w:r w:rsidR="008A5E12">
        <w:rPr>
          <w:szCs w:val="23"/>
        </w:rPr>
        <w:t>zauważa</w:t>
      </w:r>
      <w:r>
        <w:rPr>
          <w:szCs w:val="23"/>
        </w:rPr>
        <w:t xml:space="preserve"> </w:t>
      </w:r>
      <w:r w:rsidRPr="004263C9">
        <w:rPr>
          <w:b/>
          <w:bCs/>
          <w:szCs w:val="23"/>
        </w:rPr>
        <w:t>Sławomir Grzelczak</w:t>
      </w:r>
      <w:r>
        <w:rPr>
          <w:szCs w:val="23"/>
        </w:rPr>
        <w:t xml:space="preserve">. </w:t>
      </w:r>
      <w:r w:rsidR="00DA7207">
        <w:rPr>
          <w:szCs w:val="23"/>
        </w:rPr>
        <w:t xml:space="preserve">Trudną sytuację gastronomii potwierdzają statystyki dotyczące </w:t>
      </w:r>
      <w:r w:rsidR="00CE3F40">
        <w:rPr>
          <w:szCs w:val="23"/>
        </w:rPr>
        <w:t>wy</w:t>
      </w:r>
      <w:r w:rsidR="00DA7207">
        <w:rPr>
          <w:szCs w:val="23"/>
        </w:rPr>
        <w:t>korzystania pomocy</w:t>
      </w:r>
      <w:r w:rsidR="00CE3F40">
        <w:rPr>
          <w:szCs w:val="23"/>
        </w:rPr>
        <w:t xml:space="preserve"> z zakończonej w marcu </w:t>
      </w:r>
      <w:r w:rsidR="00DA7207">
        <w:rPr>
          <w:szCs w:val="23"/>
        </w:rPr>
        <w:t>Tarczy Finansowej 2.0</w:t>
      </w:r>
      <w:r w:rsidR="00CE3F40">
        <w:rPr>
          <w:szCs w:val="23"/>
        </w:rPr>
        <w:t xml:space="preserve"> PFR. </w:t>
      </w:r>
      <w:r w:rsidR="00F21ECC">
        <w:rPr>
          <w:szCs w:val="23"/>
        </w:rPr>
        <w:t>W</w:t>
      </w:r>
      <w:r w:rsidR="00275B04">
        <w:rPr>
          <w:szCs w:val="23"/>
        </w:rPr>
        <w:t> </w:t>
      </w:r>
      <w:r w:rsidR="00F21ECC">
        <w:rPr>
          <w:szCs w:val="23"/>
        </w:rPr>
        <w:t>sytuacji</w:t>
      </w:r>
      <w:r w:rsidR="00F31F61">
        <w:rPr>
          <w:szCs w:val="23"/>
        </w:rPr>
        <w:t>,</w:t>
      </w:r>
      <w:r w:rsidR="00F21ECC">
        <w:rPr>
          <w:szCs w:val="23"/>
        </w:rPr>
        <w:t xml:space="preserve"> gdy </w:t>
      </w:r>
      <w:r w:rsidR="00CE3F40">
        <w:rPr>
          <w:szCs w:val="23"/>
        </w:rPr>
        <w:t>jednym z warunków otrzymania wsparcia były przychody niższe o co najmniej 30</w:t>
      </w:r>
      <w:r w:rsidR="00F31F61">
        <w:rPr>
          <w:szCs w:val="23"/>
        </w:rPr>
        <w:t> </w:t>
      </w:r>
      <w:r w:rsidR="00CE3F40">
        <w:rPr>
          <w:szCs w:val="23"/>
        </w:rPr>
        <w:t>proc.</w:t>
      </w:r>
      <w:r w:rsidR="00836F41">
        <w:rPr>
          <w:szCs w:val="23"/>
        </w:rPr>
        <w:t>,</w:t>
      </w:r>
      <w:r w:rsidR="00F21ECC">
        <w:rPr>
          <w:szCs w:val="23"/>
        </w:rPr>
        <w:t xml:space="preserve"> sięgnęła po </w:t>
      </w:r>
      <w:proofErr w:type="gramStart"/>
      <w:r w:rsidR="00F21ECC">
        <w:rPr>
          <w:szCs w:val="23"/>
        </w:rPr>
        <w:t>nie grubo</w:t>
      </w:r>
      <w:proofErr w:type="gramEnd"/>
      <w:r w:rsidR="00F21ECC">
        <w:rPr>
          <w:szCs w:val="23"/>
        </w:rPr>
        <w:t xml:space="preserve"> ponad połowa firm, wynika z wstępnych informacji. </w:t>
      </w:r>
      <w:r w:rsidR="00CE3F40">
        <w:rPr>
          <w:szCs w:val="23"/>
        </w:rPr>
        <w:t xml:space="preserve">  </w:t>
      </w:r>
    </w:p>
    <w:p w14:paraId="258043AB" w14:textId="15215DFD" w:rsidR="00CE3F40" w:rsidRPr="005453B8" w:rsidRDefault="005453B8" w:rsidP="00F31F61">
      <w:pPr>
        <w:spacing w:before="240" w:after="120"/>
        <w:jc w:val="both"/>
        <w:rPr>
          <w:b/>
          <w:bCs/>
          <w:szCs w:val="23"/>
        </w:rPr>
      </w:pPr>
      <w:r w:rsidRPr="005453B8">
        <w:rPr>
          <w:b/>
          <w:bCs/>
          <w:szCs w:val="23"/>
        </w:rPr>
        <w:t xml:space="preserve">Gastronomia </w:t>
      </w:r>
      <w:r w:rsidR="00492737">
        <w:rPr>
          <w:b/>
          <w:bCs/>
          <w:szCs w:val="23"/>
        </w:rPr>
        <w:t xml:space="preserve">ma pozostać </w:t>
      </w:r>
      <w:r w:rsidR="0033056D">
        <w:rPr>
          <w:b/>
          <w:bCs/>
          <w:szCs w:val="23"/>
        </w:rPr>
        <w:t xml:space="preserve">pod </w:t>
      </w:r>
      <w:r w:rsidRPr="005453B8">
        <w:rPr>
          <w:b/>
          <w:bCs/>
          <w:szCs w:val="23"/>
        </w:rPr>
        <w:t xml:space="preserve">kroplówką </w:t>
      </w:r>
    </w:p>
    <w:p w14:paraId="0BFCE53A" w14:textId="263A520E" w:rsidR="00826FF3" w:rsidRDefault="00CE3F40" w:rsidP="00275B04">
      <w:pPr>
        <w:spacing w:after="120"/>
        <w:jc w:val="both"/>
        <w:rPr>
          <w:szCs w:val="23"/>
        </w:rPr>
      </w:pPr>
      <w:r w:rsidRPr="008616D6">
        <w:rPr>
          <w:szCs w:val="23"/>
        </w:rPr>
        <w:t xml:space="preserve">Rząd </w:t>
      </w:r>
      <w:r w:rsidRPr="00CE3F40">
        <w:rPr>
          <w:szCs w:val="23"/>
        </w:rPr>
        <w:t xml:space="preserve">już zapowiedział, że </w:t>
      </w:r>
      <w:r w:rsidRPr="008616D6">
        <w:rPr>
          <w:szCs w:val="23"/>
        </w:rPr>
        <w:t>chce zapewnić dodatkow</w:t>
      </w:r>
      <w:r w:rsidR="00F21ECC">
        <w:rPr>
          <w:szCs w:val="23"/>
        </w:rPr>
        <w:t>ą pomoc</w:t>
      </w:r>
      <w:r w:rsidRPr="008616D6">
        <w:rPr>
          <w:szCs w:val="23"/>
        </w:rPr>
        <w:t xml:space="preserve"> dla branży gastronomicznej i</w:t>
      </w:r>
      <w:r w:rsidR="00275B04">
        <w:t> </w:t>
      </w:r>
      <w:r w:rsidRPr="008616D6">
        <w:rPr>
          <w:szCs w:val="23"/>
        </w:rPr>
        <w:t>hotelarskiej także po zakończeniu III fali pandemii COVID-19</w:t>
      </w:r>
      <w:r w:rsidRPr="00CE3F40">
        <w:rPr>
          <w:szCs w:val="23"/>
        </w:rPr>
        <w:t xml:space="preserve">. </w:t>
      </w:r>
      <w:r w:rsidR="00F21ECC">
        <w:rPr>
          <w:szCs w:val="23"/>
        </w:rPr>
        <w:t>Pomysłów na to</w:t>
      </w:r>
      <w:r w:rsidR="00275B04">
        <w:rPr>
          <w:szCs w:val="23"/>
        </w:rPr>
        <w:t>,</w:t>
      </w:r>
      <w:r w:rsidR="00F21ECC">
        <w:rPr>
          <w:szCs w:val="23"/>
        </w:rPr>
        <w:t xml:space="preserve"> jak mogłaby ona wyglądać</w:t>
      </w:r>
      <w:r w:rsidR="00275B04">
        <w:rPr>
          <w:szCs w:val="23"/>
        </w:rPr>
        <w:t>,</w:t>
      </w:r>
      <w:r w:rsidR="00F21ECC">
        <w:rPr>
          <w:szCs w:val="23"/>
        </w:rPr>
        <w:t xml:space="preserve"> jest sporo. Jeden z nich to wzorowany na bonie turystycznym </w:t>
      </w:r>
      <w:r w:rsidR="00452A2E">
        <w:rPr>
          <w:szCs w:val="23"/>
        </w:rPr>
        <w:t>bon żywnościowy. M</w:t>
      </w:r>
      <w:r w:rsidR="00452A2E" w:rsidRPr="00452A2E">
        <w:rPr>
          <w:szCs w:val="23"/>
        </w:rPr>
        <w:t>i</w:t>
      </w:r>
      <w:r w:rsidR="00452A2E">
        <w:rPr>
          <w:szCs w:val="23"/>
        </w:rPr>
        <w:t>ałyby trafiać do pracowników</w:t>
      </w:r>
      <w:r w:rsidR="006E7366">
        <w:rPr>
          <w:szCs w:val="23"/>
        </w:rPr>
        <w:t xml:space="preserve"> firm</w:t>
      </w:r>
      <w:r w:rsidR="00452A2E">
        <w:rPr>
          <w:szCs w:val="23"/>
        </w:rPr>
        <w:t>,</w:t>
      </w:r>
      <w:r w:rsidR="006E7366">
        <w:rPr>
          <w:szCs w:val="23"/>
        </w:rPr>
        <w:t xml:space="preserve"> które zapłaciłyby np. połowę wartości bonu, a resztę kwoty pokrywałoby </w:t>
      </w:r>
      <w:r w:rsidR="00452A2E">
        <w:rPr>
          <w:szCs w:val="23"/>
        </w:rPr>
        <w:t>państwo</w:t>
      </w:r>
      <w:r w:rsidR="00452A2E" w:rsidRPr="00452A2E">
        <w:rPr>
          <w:szCs w:val="23"/>
        </w:rPr>
        <w:t xml:space="preserve">. </w:t>
      </w:r>
      <w:r w:rsidR="00F21ECC">
        <w:rPr>
          <w:szCs w:val="23"/>
        </w:rPr>
        <w:t>Obdarowani bonami mogliby je</w:t>
      </w:r>
      <w:r w:rsidR="00C732D5">
        <w:rPr>
          <w:szCs w:val="23"/>
        </w:rPr>
        <w:t xml:space="preserve"> </w:t>
      </w:r>
      <w:r w:rsidR="00452A2E" w:rsidRPr="00452A2E">
        <w:rPr>
          <w:szCs w:val="23"/>
        </w:rPr>
        <w:t>wykorzystać zamawiając posiłki na wynos w dowolnej restauracji</w:t>
      </w:r>
      <w:r w:rsidR="00452A2E">
        <w:rPr>
          <w:szCs w:val="23"/>
        </w:rPr>
        <w:t>. Drugim proponowanym rozwiązaniem jest okresowe o</w:t>
      </w:r>
      <w:r w:rsidR="00826FF3" w:rsidRPr="007D45FB">
        <w:rPr>
          <w:szCs w:val="23"/>
        </w:rPr>
        <w:t>bniżenie stawki podatku VAT na usługi gastronomiczne z obecnych 8 do 5 proc.</w:t>
      </w:r>
      <w:r w:rsidR="00452A2E">
        <w:rPr>
          <w:szCs w:val="23"/>
        </w:rPr>
        <w:t xml:space="preserve"> </w:t>
      </w:r>
      <w:r w:rsidR="0082243F">
        <w:rPr>
          <w:szCs w:val="23"/>
        </w:rPr>
        <w:t>Obniżka m</w:t>
      </w:r>
      <w:r w:rsidR="00452A2E">
        <w:rPr>
          <w:szCs w:val="23"/>
        </w:rPr>
        <w:t xml:space="preserve">iałaby obowiązywać </w:t>
      </w:r>
      <w:r w:rsidR="00826FF3" w:rsidRPr="007D45FB">
        <w:rPr>
          <w:szCs w:val="23"/>
        </w:rPr>
        <w:lastRenderedPageBreak/>
        <w:t>wyłącznie do końca 2021 r.</w:t>
      </w:r>
      <w:r w:rsidR="00452A2E">
        <w:rPr>
          <w:szCs w:val="23"/>
        </w:rPr>
        <w:t xml:space="preserve"> </w:t>
      </w:r>
      <w:r w:rsidR="00C732D5">
        <w:rPr>
          <w:szCs w:val="23"/>
        </w:rPr>
        <w:t xml:space="preserve">Światełkiem w tunelu jest też rozważana przez rząd ewentualność otwarcia ogródków restauracyjnych, gdy tylko się ociepli. </w:t>
      </w:r>
      <w:r w:rsidR="00F21ECC">
        <w:rPr>
          <w:szCs w:val="23"/>
        </w:rPr>
        <w:t xml:space="preserve">Tu jednak z pewnością spore znaczenie ma też liczba zachorowań na COVID-19. </w:t>
      </w:r>
      <w:r w:rsidR="00C732D5">
        <w:rPr>
          <w:szCs w:val="23"/>
        </w:rPr>
        <w:t>Jak na razie jednak</w:t>
      </w:r>
      <w:r w:rsidR="00275B04">
        <w:rPr>
          <w:szCs w:val="23"/>
        </w:rPr>
        <w:t>,</w:t>
      </w:r>
      <w:r w:rsidR="00C732D5">
        <w:rPr>
          <w:szCs w:val="23"/>
        </w:rPr>
        <w:t xml:space="preserve"> wiosna wciąż kaprysi</w:t>
      </w:r>
      <w:r w:rsidR="00F21ECC">
        <w:rPr>
          <w:szCs w:val="23"/>
        </w:rPr>
        <w:t xml:space="preserve"> i chorych jest wielu. A te i inne </w:t>
      </w:r>
      <w:r w:rsidR="00C732D5">
        <w:rPr>
          <w:szCs w:val="23"/>
        </w:rPr>
        <w:t xml:space="preserve">możliwości </w:t>
      </w:r>
      <w:r w:rsidR="00F21ECC">
        <w:rPr>
          <w:szCs w:val="23"/>
        </w:rPr>
        <w:t xml:space="preserve">wsparcia </w:t>
      </w:r>
      <w:r w:rsidR="00C732D5">
        <w:rPr>
          <w:szCs w:val="23"/>
        </w:rPr>
        <w:t xml:space="preserve">pozostają w sferze rozważań i zapowiedzi. </w:t>
      </w:r>
    </w:p>
    <w:p w14:paraId="4639FEB7" w14:textId="2976BA04" w:rsidR="00C732D5" w:rsidRDefault="004E0545" w:rsidP="00275B04">
      <w:pPr>
        <w:spacing w:after="120"/>
        <w:jc w:val="both"/>
        <w:rPr>
          <w:szCs w:val="23"/>
        </w:rPr>
      </w:pPr>
      <w:r>
        <w:rPr>
          <w:szCs w:val="23"/>
        </w:rPr>
        <w:t>Ciężka sytuacja branży powoduje, że przedsiębiorcy nie wahają się podejmować radykalnych działań. Z</w:t>
      </w:r>
      <w:r w:rsidRPr="007D45FB">
        <w:rPr>
          <w:szCs w:val="23"/>
        </w:rPr>
        <w:t>a chwilę ma</w:t>
      </w:r>
      <w:r>
        <w:rPr>
          <w:szCs w:val="23"/>
        </w:rPr>
        <w:t>ją</w:t>
      </w:r>
      <w:r w:rsidRPr="007D45FB">
        <w:rPr>
          <w:szCs w:val="23"/>
        </w:rPr>
        <w:t xml:space="preserve"> złoż</w:t>
      </w:r>
      <w:r>
        <w:rPr>
          <w:szCs w:val="23"/>
        </w:rPr>
        <w:t xml:space="preserve">yć </w:t>
      </w:r>
      <w:r w:rsidRPr="007D45FB">
        <w:rPr>
          <w:szCs w:val="23"/>
        </w:rPr>
        <w:t>największ</w:t>
      </w:r>
      <w:r>
        <w:rPr>
          <w:szCs w:val="23"/>
        </w:rPr>
        <w:t>y</w:t>
      </w:r>
      <w:r w:rsidRPr="007D45FB">
        <w:rPr>
          <w:szCs w:val="23"/>
        </w:rPr>
        <w:t xml:space="preserve"> w historii Polski poz</w:t>
      </w:r>
      <w:r>
        <w:rPr>
          <w:szCs w:val="23"/>
        </w:rPr>
        <w:t>e</w:t>
      </w:r>
      <w:r w:rsidRPr="007D45FB">
        <w:rPr>
          <w:szCs w:val="23"/>
        </w:rPr>
        <w:t>w grupow</w:t>
      </w:r>
      <w:r>
        <w:rPr>
          <w:szCs w:val="23"/>
        </w:rPr>
        <w:t>y</w:t>
      </w:r>
      <w:r w:rsidRPr="007D45FB">
        <w:rPr>
          <w:szCs w:val="23"/>
        </w:rPr>
        <w:t xml:space="preserve"> przeciwko Skarbowi Państwa</w:t>
      </w:r>
      <w:r w:rsidR="0082243F">
        <w:rPr>
          <w:szCs w:val="23"/>
        </w:rPr>
        <w:t xml:space="preserve">, </w:t>
      </w:r>
      <w:r>
        <w:rPr>
          <w:szCs w:val="23"/>
        </w:rPr>
        <w:t xml:space="preserve">który ich zdaniem </w:t>
      </w:r>
      <w:r w:rsidRPr="007D45FB">
        <w:rPr>
          <w:szCs w:val="23"/>
        </w:rPr>
        <w:t>powinien zapłacić firmom odszkodowania</w:t>
      </w:r>
      <w:r>
        <w:rPr>
          <w:szCs w:val="23"/>
        </w:rPr>
        <w:t>.</w:t>
      </w:r>
      <w:r w:rsidR="0082243F">
        <w:rPr>
          <w:szCs w:val="23"/>
        </w:rPr>
        <w:t xml:space="preserve"> Uznają bowiem, że dotychczasowa pomoc państwa jest niewystarczająca. </w:t>
      </w:r>
      <w:r>
        <w:rPr>
          <w:szCs w:val="23"/>
        </w:rPr>
        <w:t xml:space="preserve">Wielu restauratorów decyduje się także na mniej lub bardziej jawne prowadzenie działalności niezależnie od aktualnych ograniczeń, licząc się z tym, że nałożone zostaną na nich </w:t>
      </w:r>
      <w:r w:rsidR="0082243F">
        <w:rPr>
          <w:szCs w:val="23"/>
        </w:rPr>
        <w:t xml:space="preserve">za to </w:t>
      </w:r>
      <w:r>
        <w:rPr>
          <w:szCs w:val="23"/>
        </w:rPr>
        <w:t>kary.</w:t>
      </w:r>
    </w:p>
    <w:p w14:paraId="25C82E92" w14:textId="760B6B28" w:rsidR="00452A2E" w:rsidRPr="00B91D50" w:rsidRDefault="00B91D50" w:rsidP="00275B04">
      <w:pPr>
        <w:spacing w:before="240" w:after="120"/>
        <w:jc w:val="both"/>
        <w:rPr>
          <w:b/>
          <w:bCs/>
          <w:szCs w:val="23"/>
        </w:rPr>
      </w:pPr>
      <w:r w:rsidRPr="00B91D50">
        <w:rPr>
          <w:b/>
          <w:bCs/>
          <w:szCs w:val="23"/>
        </w:rPr>
        <w:t xml:space="preserve">Przybywa </w:t>
      </w:r>
      <w:r w:rsidR="00492737">
        <w:rPr>
          <w:b/>
          <w:bCs/>
          <w:szCs w:val="23"/>
        </w:rPr>
        <w:t xml:space="preserve">firm </w:t>
      </w:r>
      <w:r w:rsidRPr="00B91D50">
        <w:rPr>
          <w:b/>
          <w:bCs/>
          <w:szCs w:val="23"/>
        </w:rPr>
        <w:t>z zaległościami</w:t>
      </w:r>
      <w:r w:rsidR="005453B8">
        <w:rPr>
          <w:b/>
          <w:bCs/>
          <w:szCs w:val="23"/>
        </w:rPr>
        <w:t xml:space="preserve"> i </w:t>
      </w:r>
      <w:r w:rsidR="00492737">
        <w:rPr>
          <w:b/>
          <w:bCs/>
          <w:szCs w:val="23"/>
        </w:rPr>
        <w:t xml:space="preserve">samych </w:t>
      </w:r>
      <w:r w:rsidR="005453B8">
        <w:rPr>
          <w:b/>
          <w:bCs/>
          <w:szCs w:val="23"/>
        </w:rPr>
        <w:t>zaległości</w:t>
      </w:r>
    </w:p>
    <w:p w14:paraId="25356475" w14:textId="2460C26B" w:rsidR="00163F2D" w:rsidRDefault="00B91D50" w:rsidP="00275B04">
      <w:pPr>
        <w:spacing w:after="240"/>
        <w:jc w:val="both"/>
        <w:rPr>
          <w:szCs w:val="23"/>
        </w:rPr>
      </w:pPr>
      <w:r w:rsidRPr="00B91D50">
        <w:rPr>
          <w:szCs w:val="23"/>
        </w:rPr>
        <w:t>Jak pokazują dane Rejestru Dłużników BIG InfoMonitor i bazy BIK,</w:t>
      </w:r>
      <w:r w:rsidR="00A5282D">
        <w:rPr>
          <w:szCs w:val="23"/>
        </w:rPr>
        <w:t xml:space="preserve"> </w:t>
      </w:r>
      <w:r w:rsidR="00C732D5">
        <w:rPr>
          <w:szCs w:val="23"/>
        </w:rPr>
        <w:t xml:space="preserve">na koniec </w:t>
      </w:r>
      <w:r w:rsidR="00F62FC5">
        <w:rPr>
          <w:szCs w:val="23"/>
        </w:rPr>
        <w:t>marc</w:t>
      </w:r>
      <w:r w:rsidR="00C732D5">
        <w:rPr>
          <w:szCs w:val="23"/>
        </w:rPr>
        <w:t>a</w:t>
      </w:r>
      <w:r w:rsidR="00F62FC5">
        <w:rPr>
          <w:szCs w:val="23"/>
        </w:rPr>
        <w:t xml:space="preserve"> </w:t>
      </w:r>
      <w:r w:rsidR="00A5282D" w:rsidRPr="00A5282D">
        <w:rPr>
          <w:szCs w:val="23"/>
        </w:rPr>
        <w:t>20</w:t>
      </w:r>
      <w:r w:rsidR="00F62FC5">
        <w:rPr>
          <w:szCs w:val="23"/>
        </w:rPr>
        <w:t>20</w:t>
      </w:r>
      <w:r w:rsidR="00A5282D" w:rsidRPr="00A5282D">
        <w:rPr>
          <w:szCs w:val="23"/>
        </w:rPr>
        <w:t xml:space="preserve"> r</w:t>
      </w:r>
      <w:r w:rsidR="00C732D5">
        <w:rPr>
          <w:szCs w:val="23"/>
        </w:rPr>
        <w:t>.</w:t>
      </w:r>
      <w:r w:rsidR="00275B04">
        <w:rPr>
          <w:szCs w:val="23"/>
        </w:rPr>
        <w:t>,</w:t>
      </w:r>
      <w:r w:rsidR="00C732D5">
        <w:rPr>
          <w:szCs w:val="23"/>
        </w:rPr>
        <w:t xml:space="preserve"> na starcie pandemii,</w:t>
      </w:r>
      <w:r w:rsidR="00A5282D">
        <w:rPr>
          <w:szCs w:val="23"/>
        </w:rPr>
        <w:t xml:space="preserve"> </w:t>
      </w:r>
      <w:r w:rsidR="00F62FC5">
        <w:rPr>
          <w:szCs w:val="23"/>
        </w:rPr>
        <w:t>zaległości wobec dostawców i banków miało 9830 fi</w:t>
      </w:r>
      <w:r w:rsidR="00A5282D" w:rsidRPr="00A5282D">
        <w:rPr>
          <w:szCs w:val="23"/>
        </w:rPr>
        <w:t>rm (aktywnych, zawieszonych i zamkniętych)</w:t>
      </w:r>
      <w:r w:rsidR="00A5282D">
        <w:rPr>
          <w:szCs w:val="23"/>
        </w:rPr>
        <w:t xml:space="preserve"> </w:t>
      </w:r>
      <w:r w:rsidR="00A5282D" w:rsidRPr="00A5282D">
        <w:rPr>
          <w:szCs w:val="23"/>
        </w:rPr>
        <w:t>prowadzących działalność usługową związaną z wyżywieniem</w:t>
      </w:r>
      <w:r w:rsidR="00A5282D">
        <w:rPr>
          <w:szCs w:val="23"/>
        </w:rPr>
        <w:t xml:space="preserve">. Do </w:t>
      </w:r>
      <w:r w:rsidR="00C732D5">
        <w:rPr>
          <w:szCs w:val="23"/>
        </w:rPr>
        <w:t xml:space="preserve">końca lutego </w:t>
      </w:r>
      <w:r w:rsidR="00F62FC5">
        <w:rPr>
          <w:szCs w:val="23"/>
        </w:rPr>
        <w:t>tego</w:t>
      </w:r>
      <w:r w:rsidR="00A5282D">
        <w:rPr>
          <w:szCs w:val="23"/>
        </w:rPr>
        <w:t xml:space="preserve"> roku liczba </w:t>
      </w:r>
      <w:r w:rsidR="00F62FC5">
        <w:rPr>
          <w:szCs w:val="23"/>
        </w:rPr>
        <w:t xml:space="preserve">ta </w:t>
      </w:r>
      <w:r w:rsidR="00A5282D">
        <w:rPr>
          <w:szCs w:val="23"/>
        </w:rPr>
        <w:t xml:space="preserve">wzrosła </w:t>
      </w:r>
      <w:r w:rsidR="00A5282D" w:rsidRPr="00A5282D">
        <w:rPr>
          <w:szCs w:val="23"/>
        </w:rPr>
        <w:t xml:space="preserve">o </w:t>
      </w:r>
      <w:r w:rsidR="00C732D5">
        <w:rPr>
          <w:szCs w:val="23"/>
        </w:rPr>
        <w:t>3</w:t>
      </w:r>
      <w:r w:rsidR="00F62FC5">
        <w:rPr>
          <w:szCs w:val="23"/>
        </w:rPr>
        <w:t>4</w:t>
      </w:r>
      <w:r w:rsidR="00C732D5">
        <w:rPr>
          <w:szCs w:val="23"/>
        </w:rPr>
        <w:t>2</w:t>
      </w:r>
      <w:r w:rsidR="00F62FC5">
        <w:rPr>
          <w:szCs w:val="23"/>
        </w:rPr>
        <w:t xml:space="preserve"> pod</w:t>
      </w:r>
      <w:r w:rsidR="00A5282D" w:rsidRPr="00A5282D">
        <w:rPr>
          <w:szCs w:val="23"/>
        </w:rPr>
        <w:t>miot</w:t>
      </w:r>
      <w:r w:rsidR="00E05AD1">
        <w:rPr>
          <w:szCs w:val="23"/>
        </w:rPr>
        <w:t>y</w:t>
      </w:r>
      <w:r w:rsidR="00F62FC5">
        <w:rPr>
          <w:szCs w:val="23"/>
        </w:rPr>
        <w:t>,</w:t>
      </w:r>
      <w:r w:rsidR="00A5282D">
        <w:rPr>
          <w:szCs w:val="23"/>
        </w:rPr>
        <w:t xml:space="preserve"> do </w:t>
      </w:r>
      <w:r w:rsidR="007945FF">
        <w:rPr>
          <w:szCs w:val="23"/>
        </w:rPr>
        <w:t>10</w:t>
      </w:r>
      <w:r w:rsidR="00C732D5">
        <w:rPr>
          <w:szCs w:val="23"/>
        </w:rPr>
        <w:t>172</w:t>
      </w:r>
      <w:r w:rsidR="007945FF">
        <w:rPr>
          <w:szCs w:val="23"/>
        </w:rPr>
        <w:t xml:space="preserve">. </w:t>
      </w:r>
    </w:p>
    <w:p w14:paraId="376BB224" w14:textId="1DAAD77C" w:rsidR="00C732D5" w:rsidRPr="007D45FB" w:rsidRDefault="00C732D5" w:rsidP="00CF3998">
      <w:pPr>
        <w:spacing w:after="120"/>
        <w:jc w:val="both"/>
        <w:rPr>
          <w:rFonts w:cstheme="minorHAnsi"/>
          <w:bCs/>
          <w:i/>
          <w:iCs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321545FE" wp14:editId="165A8CC5">
            <wp:extent cx="5697855" cy="3200400"/>
            <wp:effectExtent l="0" t="0" r="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0A354A02-DC30-4C6B-9FD6-3535E9AB3E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7D45FB">
        <w:rPr>
          <w:rFonts w:cstheme="minorHAnsi"/>
          <w:bCs/>
          <w:i/>
          <w:iCs/>
          <w:color w:val="000000"/>
          <w:sz w:val="16"/>
          <w:szCs w:val="16"/>
        </w:rPr>
        <w:t>Źródło: Rejestr Dłużników BIG InfoMonitor i BIK</w:t>
      </w:r>
    </w:p>
    <w:p w14:paraId="190A233F" w14:textId="33E0EC05" w:rsidR="00A93037" w:rsidRDefault="004676F7" w:rsidP="00A93037">
      <w:pPr>
        <w:spacing w:after="120"/>
        <w:jc w:val="both"/>
        <w:rPr>
          <w:rFonts w:ascii="Calibri" w:hAnsi="Calibri"/>
          <w:szCs w:val="23"/>
        </w:rPr>
      </w:pPr>
      <w:r w:rsidRPr="007D45FB">
        <w:rPr>
          <w:rFonts w:ascii="Calibri" w:hAnsi="Calibri"/>
          <w:szCs w:val="23"/>
        </w:rPr>
        <w:t xml:space="preserve">Według danych Rejestru Dłużników BIG InfoMonitor </w:t>
      </w:r>
      <w:r w:rsidR="00C732D5">
        <w:rPr>
          <w:rFonts w:ascii="Calibri" w:hAnsi="Calibri"/>
          <w:szCs w:val="23"/>
        </w:rPr>
        <w:t xml:space="preserve">oraz BIK </w:t>
      </w:r>
      <w:r w:rsidRPr="007D45FB">
        <w:rPr>
          <w:rFonts w:ascii="Calibri" w:hAnsi="Calibri"/>
          <w:szCs w:val="23"/>
        </w:rPr>
        <w:t xml:space="preserve">jeszcze przed </w:t>
      </w:r>
      <w:proofErr w:type="spellStart"/>
      <w:r w:rsidRPr="007D45FB">
        <w:rPr>
          <w:rFonts w:ascii="Calibri" w:hAnsi="Calibri"/>
          <w:szCs w:val="23"/>
        </w:rPr>
        <w:t>lockdownem</w:t>
      </w:r>
      <w:proofErr w:type="spellEnd"/>
      <w:r w:rsidRPr="007D45FB">
        <w:rPr>
          <w:rFonts w:ascii="Calibri" w:hAnsi="Calibri"/>
          <w:szCs w:val="23"/>
        </w:rPr>
        <w:t xml:space="preserve"> przeterminowane zadłużenie gastronomii </w:t>
      </w:r>
      <w:r w:rsidR="004934BF">
        <w:rPr>
          <w:rFonts w:ascii="Calibri" w:hAnsi="Calibri"/>
          <w:szCs w:val="23"/>
        </w:rPr>
        <w:t xml:space="preserve">przekraczało </w:t>
      </w:r>
      <w:r w:rsidRPr="007D45FB">
        <w:rPr>
          <w:rFonts w:ascii="Calibri" w:hAnsi="Calibri"/>
          <w:szCs w:val="23"/>
        </w:rPr>
        <w:t>6</w:t>
      </w:r>
      <w:r w:rsidR="004934BF">
        <w:rPr>
          <w:rFonts w:ascii="Calibri" w:hAnsi="Calibri"/>
          <w:szCs w:val="23"/>
        </w:rPr>
        <w:t>47</w:t>
      </w:r>
      <w:r w:rsidRPr="007D45FB">
        <w:rPr>
          <w:rFonts w:ascii="Calibri" w:hAnsi="Calibri"/>
          <w:szCs w:val="23"/>
        </w:rPr>
        <w:t xml:space="preserve"> mln zł i choć w ciągu roku odsetek podmiotów z problemami </w:t>
      </w:r>
      <w:r w:rsidR="00C732D5">
        <w:rPr>
          <w:rFonts w:ascii="Calibri" w:hAnsi="Calibri"/>
          <w:szCs w:val="23"/>
        </w:rPr>
        <w:t xml:space="preserve">utrzymał się na poziomie </w:t>
      </w:r>
      <w:r w:rsidRPr="007D45FB">
        <w:rPr>
          <w:rFonts w:ascii="Calibri" w:hAnsi="Calibri"/>
          <w:szCs w:val="23"/>
        </w:rPr>
        <w:t>7,3</w:t>
      </w:r>
      <w:r w:rsidR="00C732D5">
        <w:rPr>
          <w:rFonts w:ascii="Calibri" w:hAnsi="Calibri"/>
          <w:szCs w:val="23"/>
        </w:rPr>
        <w:t>0</w:t>
      </w:r>
      <w:r w:rsidRPr="007D45FB">
        <w:rPr>
          <w:rFonts w:ascii="Calibri" w:hAnsi="Calibri"/>
          <w:szCs w:val="23"/>
        </w:rPr>
        <w:t xml:space="preserve"> proc.</w:t>
      </w:r>
      <w:r w:rsidR="00AE6A37">
        <w:rPr>
          <w:rFonts w:ascii="Calibri" w:hAnsi="Calibri"/>
          <w:szCs w:val="23"/>
        </w:rPr>
        <w:t>,</w:t>
      </w:r>
      <w:r w:rsidRPr="007D45FB">
        <w:rPr>
          <w:rFonts w:ascii="Calibri" w:hAnsi="Calibri"/>
          <w:szCs w:val="23"/>
        </w:rPr>
        <w:t xml:space="preserve"> to kwota zobowiązań wzrosła o</w:t>
      </w:r>
      <w:r w:rsidR="00AE6A37">
        <w:rPr>
          <w:rFonts w:ascii="Calibri" w:hAnsi="Calibri"/>
          <w:szCs w:val="23"/>
        </w:rPr>
        <w:t> </w:t>
      </w:r>
      <w:r w:rsidR="004934BF">
        <w:rPr>
          <w:rFonts w:ascii="Calibri" w:hAnsi="Calibri"/>
          <w:szCs w:val="23"/>
        </w:rPr>
        <w:t>6</w:t>
      </w:r>
      <w:r w:rsidR="00C732D5">
        <w:rPr>
          <w:rFonts w:ascii="Calibri" w:hAnsi="Calibri"/>
          <w:szCs w:val="23"/>
        </w:rPr>
        <w:t>7,4</w:t>
      </w:r>
      <w:r w:rsidRPr="007D45FB">
        <w:rPr>
          <w:rFonts w:ascii="Calibri" w:hAnsi="Calibri"/>
          <w:szCs w:val="23"/>
        </w:rPr>
        <w:t xml:space="preserve"> mln zł</w:t>
      </w:r>
      <w:r w:rsidR="00C732D5">
        <w:rPr>
          <w:rFonts w:ascii="Calibri" w:hAnsi="Calibri"/>
          <w:szCs w:val="23"/>
        </w:rPr>
        <w:t>, czyli ponad 10 proc.</w:t>
      </w:r>
      <w:r w:rsidR="00A93037">
        <w:rPr>
          <w:rFonts w:ascii="Calibri" w:hAnsi="Calibri"/>
          <w:szCs w:val="23"/>
        </w:rPr>
        <w:t xml:space="preserve"> </w:t>
      </w:r>
    </w:p>
    <w:p w14:paraId="0E2AFD7D" w14:textId="60D6F2E9" w:rsidR="00CF3998" w:rsidRPr="00CF3998" w:rsidRDefault="00CF3998" w:rsidP="00CF3998">
      <w:pPr>
        <w:spacing w:after="120"/>
        <w:jc w:val="both"/>
        <w:rPr>
          <w:rFonts w:ascii="Calibri" w:hAnsi="Calibri"/>
          <w:szCs w:val="23"/>
        </w:rPr>
      </w:pPr>
      <w:r w:rsidRPr="00CF3998">
        <w:rPr>
          <w:rFonts w:ascii="Calibri" w:hAnsi="Calibri"/>
          <w:szCs w:val="23"/>
        </w:rPr>
        <w:t xml:space="preserve">Najbardziej, bo o 22 proc. podwyższyły się w czasie lockdownu przeterminowane zobowiązania mobilnych punktów gastronomicznych, na koniec lutego br. </w:t>
      </w:r>
      <w:r w:rsidR="00A82570">
        <w:rPr>
          <w:rFonts w:ascii="Calibri" w:hAnsi="Calibri"/>
          <w:szCs w:val="23"/>
        </w:rPr>
        <w:t>w</w:t>
      </w:r>
      <w:r w:rsidRPr="00CF3998">
        <w:rPr>
          <w:rFonts w:ascii="Calibri" w:hAnsi="Calibri"/>
          <w:szCs w:val="23"/>
        </w:rPr>
        <w:t xml:space="preserve">yniosły prawie 17 mln zł. Największa kwota nieopłaconych zobowiązań spoczywa jednak na restauracjach i stacjonarnych punktach gastronomicznych – ponad 590 mln zł, tu jest też największy odsetek firm, które opóźniają rozliczenia z dostawcami i bankami – 8,1 proc., przy średniej dla całej gospodarki wynoszącej 5,9 proc. </w:t>
      </w:r>
    </w:p>
    <w:p w14:paraId="7D4F6243" w14:textId="0C82BB1E" w:rsidR="00C732D5" w:rsidRDefault="00C732D5" w:rsidP="0008200B">
      <w:pPr>
        <w:spacing w:after="120"/>
        <w:jc w:val="both"/>
        <w:rPr>
          <w:szCs w:val="23"/>
        </w:rPr>
      </w:pPr>
      <w:r>
        <w:rPr>
          <w:noProof/>
        </w:rPr>
        <w:lastRenderedPageBreak/>
        <w:drawing>
          <wp:inline distT="0" distB="0" distL="0" distR="0" wp14:anchorId="1271B6B5" wp14:editId="2CD82596">
            <wp:extent cx="5704205" cy="3028208"/>
            <wp:effectExtent l="0" t="0" r="10795" b="127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6425B91D-9BE9-4F62-B56F-398E793CA5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Hlk67554438"/>
      <w:r w:rsidR="00131DBC" w:rsidRPr="00131DBC">
        <w:rPr>
          <w:rFonts w:ascii="Calibri" w:hAnsi="Calibri"/>
          <w:bCs/>
          <w:i/>
          <w:iCs/>
          <w:sz w:val="16"/>
          <w:szCs w:val="16"/>
        </w:rPr>
        <w:t>Źródło: Rejestr Dłużników BIG InfoMonitor i BIK</w:t>
      </w:r>
      <w:bookmarkEnd w:id="0"/>
    </w:p>
    <w:p w14:paraId="470D7337" w14:textId="77777777" w:rsidR="00492737" w:rsidRDefault="00492737" w:rsidP="00B50133">
      <w:pPr>
        <w:spacing w:before="240" w:after="120"/>
        <w:jc w:val="both"/>
        <w:rPr>
          <w:b/>
          <w:bCs/>
          <w:szCs w:val="23"/>
        </w:rPr>
      </w:pPr>
      <w:r>
        <w:rPr>
          <w:b/>
          <w:bCs/>
          <w:szCs w:val="23"/>
        </w:rPr>
        <w:t xml:space="preserve">Ubyło chętnych do otwierania </w:t>
      </w:r>
      <w:r w:rsidR="008A5E12" w:rsidRPr="008A5E12">
        <w:rPr>
          <w:b/>
          <w:bCs/>
          <w:szCs w:val="23"/>
        </w:rPr>
        <w:t xml:space="preserve">nowych </w:t>
      </w:r>
      <w:r>
        <w:rPr>
          <w:b/>
          <w:bCs/>
          <w:szCs w:val="23"/>
        </w:rPr>
        <w:t>restauracji</w:t>
      </w:r>
    </w:p>
    <w:p w14:paraId="133748EC" w14:textId="306E17AD" w:rsidR="00B50133" w:rsidRPr="008A5E12" w:rsidRDefault="008A5E12" w:rsidP="00B50133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Theme="minorHAnsi" w:eastAsia="Times New Roman" w:hAnsiTheme="minorHAnsi" w:cs="Times New Roman"/>
          <w:sz w:val="23"/>
          <w:szCs w:val="23"/>
        </w:rPr>
      </w:pPr>
      <w:r w:rsidRPr="00731B26">
        <w:rPr>
          <w:rFonts w:asciiTheme="minorHAnsi" w:eastAsia="Times New Roman" w:hAnsiTheme="minorHAnsi" w:cs="Times New Roman"/>
          <w:sz w:val="23"/>
          <w:szCs w:val="23"/>
        </w:rPr>
        <w:t xml:space="preserve">Według danych </w:t>
      </w:r>
      <w:proofErr w:type="spellStart"/>
      <w:r w:rsidRPr="00731B26">
        <w:rPr>
          <w:rFonts w:asciiTheme="minorHAnsi" w:eastAsia="Times New Roman" w:hAnsiTheme="minorHAnsi" w:cs="Times New Roman"/>
          <w:sz w:val="23"/>
          <w:szCs w:val="23"/>
        </w:rPr>
        <w:t>Dun</w:t>
      </w:r>
      <w:proofErr w:type="spellEnd"/>
      <w:r w:rsidRPr="00731B26">
        <w:rPr>
          <w:rFonts w:asciiTheme="minorHAnsi" w:eastAsia="Times New Roman" w:hAnsiTheme="minorHAnsi" w:cs="Times New Roman"/>
          <w:sz w:val="23"/>
          <w:szCs w:val="23"/>
        </w:rPr>
        <w:t xml:space="preserve"> &amp; </w:t>
      </w:r>
      <w:proofErr w:type="spellStart"/>
      <w:r w:rsidRPr="00731B26">
        <w:rPr>
          <w:rFonts w:asciiTheme="minorHAnsi" w:eastAsia="Times New Roman" w:hAnsiTheme="minorHAnsi" w:cs="Times New Roman"/>
          <w:sz w:val="23"/>
          <w:szCs w:val="23"/>
        </w:rPr>
        <w:t>Bradstreet</w:t>
      </w:r>
      <w:proofErr w:type="spellEnd"/>
      <w:r w:rsidRPr="00731B26">
        <w:rPr>
          <w:rFonts w:asciiTheme="minorHAnsi" w:eastAsia="Times New Roman" w:hAnsiTheme="minorHAnsi" w:cs="Times New Roman"/>
          <w:sz w:val="23"/>
          <w:szCs w:val="23"/>
        </w:rPr>
        <w:t xml:space="preserve">, tylko w </w:t>
      </w:r>
      <w:r w:rsidR="00731B26" w:rsidRPr="00731B26">
        <w:rPr>
          <w:rFonts w:asciiTheme="minorHAnsi" w:eastAsia="Times New Roman" w:hAnsiTheme="minorHAnsi" w:cs="Times New Roman"/>
          <w:sz w:val="23"/>
          <w:szCs w:val="23"/>
        </w:rPr>
        <w:t>pierwszym</w:t>
      </w:r>
      <w:r w:rsidRPr="00731B26">
        <w:rPr>
          <w:rFonts w:asciiTheme="minorHAnsi" w:eastAsia="Times New Roman" w:hAnsiTheme="minorHAnsi" w:cs="Times New Roman"/>
          <w:sz w:val="23"/>
          <w:szCs w:val="23"/>
        </w:rPr>
        <w:t xml:space="preserve"> kwartale 2021 zarejestrowano 1,3 tys. nowych przedsiębiorstw w branży gastronomicznej</w:t>
      </w:r>
      <w:r w:rsidR="00731B26" w:rsidRPr="00731B26">
        <w:rPr>
          <w:rFonts w:asciiTheme="minorHAnsi" w:eastAsia="Times New Roman" w:hAnsiTheme="minorHAnsi" w:cs="Times New Roman"/>
          <w:sz w:val="23"/>
          <w:szCs w:val="23"/>
        </w:rPr>
        <w:t>, a j</w:t>
      </w:r>
      <w:r w:rsidRPr="00731B26">
        <w:rPr>
          <w:rFonts w:asciiTheme="minorHAnsi" w:eastAsia="Times New Roman" w:hAnsiTheme="minorHAnsi" w:cs="Times New Roman"/>
          <w:sz w:val="23"/>
          <w:szCs w:val="23"/>
        </w:rPr>
        <w:t xml:space="preserve">ednocześnie wykreślono 1,1 tys. Oznacza to, że </w:t>
      </w:r>
      <w:r w:rsidR="00731B26" w:rsidRPr="00731B26">
        <w:rPr>
          <w:rFonts w:asciiTheme="minorHAnsi" w:eastAsia="Times New Roman" w:hAnsiTheme="minorHAnsi" w:cs="Times New Roman"/>
          <w:sz w:val="23"/>
          <w:szCs w:val="23"/>
        </w:rPr>
        <w:t xml:space="preserve">w Polsce </w:t>
      </w:r>
      <w:r w:rsidRPr="00731B26">
        <w:rPr>
          <w:rFonts w:asciiTheme="minorHAnsi" w:eastAsia="Times New Roman" w:hAnsiTheme="minorHAnsi" w:cs="Times New Roman"/>
          <w:sz w:val="23"/>
          <w:szCs w:val="23"/>
        </w:rPr>
        <w:t>w</w:t>
      </w:r>
      <w:r w:rsidR="00731B26" w:rsidRPr="00731B26">
        <w:rPr>
          <w:rFonts w:asciiTheme="minorHAnsi" w:eastAsia="Times New Roman" w:hAnsiTheme="minorHAnsi" w:cs="Times New Roman"/>
          <w:sz w:val="23"/>
          <w:szCs w:val="23"/>
        </w:rPr>
        <w:t xml:space="preserve"> </w:t>
      </w:r>
      <w:r w:rsidRPr="00731B26">
        <w:rPr>
          <w:rFonts w:asciiTheme="minorHAnsi" w:eastAsia="Times New Roman" w:hAnsiTheme="minorHAnsi" w:cs="Times New Roman"/>
          <w:sz w:val="23"/>
          <w:szCs w:val="23"/>
        </w:rPr>
        <w:t xml:space="preserve">porównaniu do 2020 roku, obserwujemy znacznie spowolniony proces przyrostu nowych lokali. Przypomnijmy, mimo pandemii i licznych obostrzeń, w 2020 r. </w:t>
      </w:r>
      <w:r w:rsidR="00B50133" w:rsidRPr="00731B26">
        <w:rPr>
          <w:rFonts w:asciiTheme="minorHAnsi" w:eastAsia="Times New Roman" w:hAnsiTheme="minorHAnsi" w:cs="Times New Roman"/>
          <w:sz w:val="23"/>
          <w:szCs w:val="23"/>
        </w:rPr>
        <w:t xml:space="preserve">ich </w:t>
      </w:r>
      <w:r w:rsidRPr="00731B26">
        <w:rPr>
          <w:rFonts w:asciiTheme="minorHAnsi" w:eastAsia="Times New Roman" w:hAnsiTheme="minorHAnsi" w:cs="Times New Roman"/>
          <w:sz w:val="23"/>
          <w:szCs w:val="23"/>
        </w:rPr>
        <w:t>liczba wzrosła o</w:t>
      </w:r>
      <w:r w:rsidR="00731B26">
        <w:rPr>
          <w:rFonts w:asciiTheme="minorHAnsi" w:eastAsia="Times New Roman" w:hAnsiTheme="minorHAnsi" w:cs="Times New Roman"/>
          <w:sz w:val="23"/>
          <w:szCs w:val="23"/>
        </w:rPr>
        <w:t> </w:t>
      </w:r>
      <w:r w:rsidRPr="00731B26">
        <w:rPr>
          <w:rFonts w:asciiTheme="minorHAnsi" w:eastAsia="Times New Roman" w:hAnsiTheme="minorHAnsi" w:cs="Times New Roman"/>
          <w:sz w:val="23"/>
          <w:szCs w:val="23"/>
        </w:rPr>
        <w:t>2,2</w:t>
      </w:r>
      <w:r w:rsidR="00731B26" w:rsidRPr="00731B26">
        <w:rPr>
          <w:rFonts w:asciiTheme="minorHAnsi" w:eastAsia="Times New Roman" w:hAnsiTheme="minorHAnsi" w:cs="Times New Roman"/>
          <w:sz w:val="23"/>
          <w:szCs w:val="23"/>
        </w:rPr>
        <w:t xml:space="preserve"> </w:t>
      </w:r>
      <w:r w:rsidRPr="00731B26">
        <w:rPr>
          <w:rFonts w:asciiTheme="minorHAnsi" w:eastAsia="Times New Roman" w:hAnsiTheme="minorHAnsi" w:cs="Times New Roman"/>
          <w:sz w:val="23"/>
          <w:szCs w:val="23"/>
        </w:rPr>
        <w:t>proc.</w:t>
      </w:r>
      <w:r w:rsidR="00B50133" w:rsidRPr="00B50133">
        <w:rPr>
          <w:rFonts w:asciiTheme="minorHAnsi" w:eastAsia="Times New Roman" w:hAnsiTheme="minorHAnsi" w:cs="Times New Roman"/>
          <w:sz w:val="23"/>
          <w:szCs w:val="23"/>
        </w:rPr>
        <w:t xml:space="preserve"> </w:t>
      </w:r>
      <w:r w:rsidR="00B50133" w:rsidRPr="008A5E12">
        <w:rPr>
          <w:rFonts w:asciiTheme="minorHAnsi" w:eastAsia="Times New Roman" w:hAnsiTheme="minorHAnsi" w:cs="Times New Roman"/>
          <w:sz w:val="23"/>
          <w:szCs w:val="23"/>
        </w:rPr>
        <w:t xml:space="preserve">Na koniec I kwartału 2021 roku liczbę wszystkich zarejestrowanych działalności gastronomicznych szacuje się na blisko 85,7 tys. </w:t>
      </w:r>
    </w:p>
    <w:p w14:paraId="7178D75F" w14:textId="2A269BB7" w:rsidR="008A5E12" w:rsidRDefault="008A5E12" w:rsidP="00B50133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Theme="minorHAnsi" w:eastAsia="Times New Roman" w:hAnsiTheme="minorHAnsi" w:cs="Times New Roman"/>
          <w:sz w:val="23"/>
          <w:szCs w:val="23"/>
        </w:rPr>
      </w:pPr>
      <w:r w:rsidRPr="008A5E12">
        <w:rPr>
          <w:rFonts w:asciiTheme="minorHAnsi" w:eastAsia="Times New Roman" w:hAnsiTheme="minorHAnsi" w:cs="Times New Roman"/>
          <w:sz w:val="23"/>
          <w:szCs w:val="23"/>
        </w:rPr>
        <w:t>Kryzys w branży doskonale obrazuje liczba zawieszonych podmiotów. W I kwartale 2021 r</w:t>
      </w:r>
      <w:r w:rsidR="00492737">
        <w:rPr>
          <w:rFonts w:asciiTheme="minorHAnsi" w:eastAsia="Times New Roman" w:hAnsiTheme="minorHAnsi" w:cs="Times New Roman"/>
          <w:sz w:val="23"/>
          <w:szCs w:val="23"/>
        </w:rPr>
        <w:t>.</w:t>
      </w:r>
      <w:r w:rsidRPr="008A5E12">
        <w:rPr>
          <w:rFonts w:asciiTheme="minorHAnsi" w:eastAsia="Times New Roman" w:hAnsiTheme="minorHAnsi" w:cs="Times New Roman"/>
          <w:sz w:val="23"/>
          <w:szCs w:val="23"/>
        </w:rPr>
        <w:t xml:space="preserve"> zawieszono działalność 630 lokali gastronomicznych, co w porównaniu do analogicznego okresu roku ubiegłego stanowi wzrost o 10 proc.</w:t>
      </w:r>
      <w:r w:rsidR="00B50133">
        <w:rPr>
          <w:rFonts w:asciiTheme="minorHAnsi" w:eastAsia="Times New Roman" w:hAnsiTheme="minorHAnsi" w:cs="Times New Roman"/>
          <w:sz w:val="23"/>
          <w:szCs w:val="23"/>
        </w:rPr>
        <w:t xml:space="preserve"> </w:t>
      </w:r>
      <w:r w:rsidRPr="008A5E12">
        <w:rPr>
          <w:rFonts w:asciiTheme="minorHAnsi" w:eastAsia="Times New Roman" w:hAnsiTheme="minorHAnsi" w:cs="Times New Roman"/>
          <w:sz w:val="23"/>
          <w:szCs w:val="23"/>
        </w:rPr>
        <w:t>Wedle szacunków w całym 2020 roku zawieszono działalność blisko 10 proc. wszystkich lokali gastronomicznych. Z czego trwale zbankrutowało i</w:t>
      </w:r>
      <w:r w:rsidR="007A2F73">
        <w:rPr>
          <w:rFonts w:asciiTheme="minorHAnsi" w:eastAsia="Times New Roman" w:hAnsiTheme="minorHAnsi" w:cs="Times New Roman"/>
          <w:sz w:val="23"/>
          <w:szCs w:val="23"/>
        </w:rPr>
        <w:t> </w:t>
      </w:r>
      <w:r w:rsidRPr="008A5E12">
        <w:rPr>
          <w:rFonts w:asciiTheme="minorHAnsi" w:eastAsia="Times New Roman" w:hAnsiTheme="minorHAnsi" w:cs="Times New Roman"/>
          <w:sz w:val="23"/>
          <w:szCs w:val="23"/>
        </w:rPr>
        <w:t xml:space="preserve">zostało wykreślonych 341, w zawieszeniu nadal pozostawało 4861, a na rynek w 2020 r. </w:t>
      </w:r>
      <w:r w:rsidR="007A2F73" w:rsidRPr="007A2F73">
        <w:rPr>
          <w:rFonts w:asciiTheme="minorHAnsi" w:eastAsia="Times New Roman" w:hAnsiTheme="minorHAnsi" w:cs="Times New Roman"/>
          <w:sz w:val="23"/>
          <w:szCs w:val="23"/>
        </w:rPr>
        <w:t xml:space="preserve">powróciło </w:t>
      </w:r>
      <w:r w:rsidRPr="008A5E12">
        <w:rPr>
          <w:rFonts w:asciiTheme="minorHAnsi" w:eastAsia="Times New Roman" w:hAnsiTheme="minorHAnsi" w:cs="Times New Roman"/>
          <w:sz w:val="23"/>
          <w:szCs w:val="23"/>
        </w:rPr>
        <w:t xml:space="preserve">tylko 1516. </w:t>
      </w:r>
    </w:p>
    <w:p w14:paraId="26308FA0" w14:textId="0FCFF491" w:rsidR="00A03759" w:rsidRPr="008A5E12" w:rsidRDefault="00A03759" w:rsidP="00B50133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Theme="minorHAnsi" w:eastAsia="Times New Roman" w:hAnsiTheme="minorHAnsi" w:cs="Times New Roman"/>
          <w:sz w:val="23"/>
          <w:szCs w:val="23"/>
        </w:rPr>
      </w:pPr>
      <w:r>
        <w:rPr>
          <w:noProof/>
        </w:rPr>
        <w:drawing>
          <wp:inline distT="0" distB="0" distL="0" distR="0" wp14:anchorId="37E610F4" wp14:editId="426B845A">
            <wp:extent cx="5755640" cy="218122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691EA9" w14:textId="6F6FE078" w:rsidR="0008200B" w:rsidRDefault="0008200B" w:rsidP="0008200B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iCs/>
          <w:color w:val="000000"/>
          <w:sz w:val="16"/>
          <w:szCs w:val="16"/>
          <w:lang w:val="en-GB"/>
        </w:rPr>
      </w:pPr>
    </w:p>
    <w:p w14:paraId="29456982" w14:textId="5A7D43D0" w:rsidR="008A5E12" w:rsidRPr="00710970" w:rsidRDefault="008A5E12" w:rsidP="0008200B">
      <w:pPr>
        <w:pStyle w:val="Normalny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</w:rPr>
      </w:pPr>
      <w:r w:rsidRPr="00710970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Źródło: </w:t>
      </w:r>
      <w:proofErr w:type="spellStart"/>
      <w:r w:rsidRPr="00710970">
        <w:rPr>
          <w:rFonts w:asciiTheme="minorHAnsi" w:hAnsiTheme="minorHAnsi" w:cstheme="minorHAnsi"/>
          <w:i/>
          <w:iCs/>
          <w:color w:val="000000"/>
          <w:sz w:val="16"/>
          <w:szCs w:val="16"/>
        </w:rPr>
        <w:t>Dun</w:t>
      </w:r>
      <w:proofErr w:type="spellEnd"/>
      <w:r w:rsidRPr="00710970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 &amp; </w:t>
      </w:r>
      <w:proofErr w:type="spellStart"/>
      <w:r w:rsidRPr="00710970">
        <w:rPr>
          <w:rFonts w:asciiTheme="minorHAnsi" w:hAnsiTheme="minorHAnsi" w:cstheme="minorHAnsi"/>
          <w:i/>
          <w:iCs/>
          <w:color w:val="000000"/>
          <w:sz w:val="16"/>
          <w:szCs w:val="16"/>
        </w:rPr>
        <w:t>Bradstreet</w:t>
      </w:r>
      <w:proofErr w:type="spellEnd"/>
    </w:p>
    <w:p w14:paraId="7E8AE589" w14:textId="5B49807F" w:rsidR="008A5E12" w:rsidRDefault="003819D6" w:rsidP="00A552DC">
      <w:pPr>
        <w:shd w:val="clear" w:color="auto" w:fill="FFFFFF"/>
        <w:spacing w:before="240" w:after="120"/>
        <w:rPr>
          <w:rFonts w:cstheme="minorHAnsi"/>
          <w:b/>
          <w:color w:val="000000"/>
          <w:sz w:val="22"/>
          <w:szCs w:val="22"/>
        </w:rPr>
      </w:pPr>
      <w:r w:rsidRPr="007D45FB">
        <w:rPr>
          <w:rFonts w:cstheme="minorHAnsi"/>
          <w:b/>
          <w:color w:val="000000"/>
          <w:sz w:val="22"/>
          <w:szCs w:val="22"/>
        </w:rPr>
        <w:lastRenderedPageBreak/>
        <w:t>Blisko 70 proc.</w:t>
      </w:r>
      <w:r w:rsidR="00492737">
        <w:rPr>
          <w:rFonts w:cstheme="minorHAnsi"/>
          <w:b/>
          <w:color w:val="000000"/>
          <w:sz w:val="22"/>
          <w:szCs w:val="22"/>
        </w:rPr>
        <w:t xml:space="preserve"> przedsiębiorstw </w:t>
      </w:r>
      <w:r w:rsidRPr="007D45FB">
        <w:rPr>
          <w:rFonts w:cstheme="minorHAnsi"/>
          <w:b/>
          <w:color w:val="000000"/>
          <w:sz w:val="22"/>
          <w:szCs w:val="22"/>
        </w:rPr>
        <w:t>ma kłopoty</w:t>
      </w:r>
    </w:p>
    <w:p w14:paraId="66D2E743" w14:textId="11CB595A" w:rsidR="003819D6" w:rsidRPr="008A5E12" w:rsidRDefault="003819D6" w:rsidP="00441A52">
      <w:pPr>
        <w:shd w:val="clear" w:color="auto" w:fill="FFFFFF"/>
        <w:spacing w:before="120" w:after="120"/>
        <w:jc w:val="both"/>
        <w:rPr>
          <w:rFonts w:cstheme="minorHAnsi"/>
          <w:b/>
          <w:color w:val="000000"/>
          <w:sz w:val="22"/>
          <w:szCs w:val="22"/>
        </w:rPr>
      </w:pPr>
      <w:proofErr w:type="spellStart"/>
      <w:r w:rsidRPr="007D45FB">
        <w:rPr>
          <w:rFonts w:cstheme="minorHAnsi"/>
          <w:color w:val="000000"/>
          <w:sz w:val="22"/>
          <w:szCs w:val="22"/>
        </w:rPr>
        <w:t>Dun</w:t>
      </w:r>
      <w:proofErr w:type="spellEnd"/>
      <w:r w:rsidRPr="007D45FB">
        <w:rPr>
          <w:rFonts w:cstheme="minorHAnsi"/>
          <w:color w:val="000000"/>
          <w:sz w:val="22"/>
          <w:szCs w:val="22"/>
        </w:rPr>
        <w:t xml:space="preserve"> &amp; </w:t>
      </w:r>
      <w:proofErr w:type="spellStart"/>
      <w:r w:rsidRPr="007D45FB">
        <w:rPr>
          <w:rFonts w:cstheme="minorHAnsi"/>
          <w:color w:val="000000"/>
          <w:sz w:val="22"/>
          <w:szCs w:val="22"/>
        </w:rPr>
        <w:t>B</w:t>
      </w:r>
      <w:r w:rsidR="00BD6AC6" w:rsidRPr="007D45FB">
        <w:rPr>
          <w:rFonts w:cstheme="minorHAnsi"/>
          <w:color w:val="000000"/>
          <w:sz w:val="22"/>
          <w:szCs w:val="22"/>
        </w:rPr>
        <w:t>radstreet</w:t>
      </w:r>
      <w:proofErr w:type="spellEnd"/>
      <w:r w:rsidR="00BD6AC6" w:rsidRPr="007D45FB">
        <w:rPr>
          <w:rFonts w:cstheme="minorHAnsi"/>
          <w:color w:val="000000"/>
          <w:sz w:val="22"/>
          <w:szCs w:val="22"/>
        </w:rPr>
        <w:t xml:space="preserve"> Company zbadał także</w:t>
      </w:r>
      <w:r w:rsidRPr="007D45FB">
        <w:rPr>
          <w:rFonts w:cstheme="minorHAnsi"/>
          <w:color w:val="000000"/>
          <w:sz w:val="22"/>
          <w:szCs w:val="22"/>
        </w:rPr>
        <w:t xml:space="preserve"> kondycję finansową blisko 4,5 tys. polskich punktów gastronomicznych. </w:t>
      </w:r>
      <w:r w:rsidR="00BD6AC6" w:rsidRPr="007D45FB">
        <w:rPr>
          <w:rFonts w:cstheme="minorHAnsi"/>
          <w:color w:val="000000"/>
          <w:sz w:val="22"/>
          <w:szCs w:val="22"/>
        </w:rPr>
        <w:t>Wyniki nie napawają optymizmem</w:t>
      </w:r>
      <w:r w:rsidR="00D97CDE" w:rsidRPr="007D45FB">
        <w:rPr>
          <w:rFonts w:cstheme="minorHAnsi"/>
          <w:color w:val="000000"/>
          <w:sz w:val="22"/>
          <w:szCs w:val="22"/>
        </w:rPr>
        <w:t>,</w:t>
      </w:r>
      <w:r w:rsidR="00BD6AC6" w:rsidRPr="007D45FB">
        <w:rPr>
          <w:rFonts w:cstheme="minorHAnsi"/>
          <w:color w:val="000000"/>
          <w:sz w:val="22"/>
          <w:szCs w:val="22"/>
        </w:rPr>
        <w:t xml:space="preserve"> bo</w:t>
      </w:r>
      <w:r w:rsidR="00E26260">
        <w:rPr>
          <w:rFonts w:cstheme="minorHAnsi"/>
          <w:color w:val="000000"/>
          <w:sz w:val="22"/>
          <w:szCs w:val="22"/>
        </w:rPr>
        <w:t xml:space="preserve"> </w:t>
      </w:r>
      <w:r w:rsidR="00126EC9">
        <w:rPr>
          <w:rFonts w:cstheme="minorHAnsi"/>
          <w:color w:val="000000"/>
          <w:sz w:val="22"/>
          <w:szCs w:val="22"/>
        </w:rPr>
        <w:t xml:space="preserve">na koniec stycznia </w:t>
      </w:r>
      <w:r w:rsidR="008A5E12">
        <w:rPr>
          <w:rFonts w:cstheme="minorHAnsi"/>
          <w:color w:val="000000"/>
          <w:sz w:val="22"/>
          <w:szCs w:val="22"/>
        </w:rPr>
        <w:t>około</w:t>
      </w:r>
      <w:r w:rsidRPr="007D45FB">
        <w:rPr>
          <w:rFonts w:cstheme="minorHAnsi"/>
          <w:color w:val="000000"/>
          <w:sz w:val="22"/>
          <w:szCs w:val="22"/>
        </w:rPr>
        <w:t xml:space="preserve"> 70 proc. z </w:t>
      </w:r>
      <w:r w:rsidR="00E26260">
        <w:rPr>
          <w:rFonts w:cstheme="minorHAnsi"/>
          <w:color w:val="000000"/>
          <w:sz w:val="22"/>
          <w:szCs w:val="22"/>
        </w:rPr>
        <w:t xml:space="preserve">nich </w:t>
      </w:r>
      <w:r w:rsidR="00126EC9">
        <w:rPr>
          <w:rFonts w:cstheme="minorHAnsi"/>
          <w:color w:val="000000"/>
          <w:sz w:val="22"/>
          <w:szCs w:val="22"/>
        </w:rPr>
        <w:t xml:space="preserve">miało </w:t>
      </w:r>
      <w:r w:rsidRPr="007D45FB">
        <w:rPr>
          <w:rFonts w:cstheme="minorHAnsi"/>
          <w:color w:val="000000"/>
          <w:sz w:val="22"/>
          <w:szCs w:val="22"/>
        </w:rPr>
        <w:t>większe lub mniejsze kłopoty finansowe.</w:t>
      </w:r>
      <w:r w:rsidR="00BD6AC6" w:rsidRPr="007D45FB">
        <w:rPr>
          <w:rFonts w:cstheme="minorHAnsi"/>
          <w:color w:val="000000"/>
          <w:sz w:val="22"/>
          <w:szCs w:val="22"/>
        </w:rPr>
        <w:t xml:space="preserve"> </w:t>
      </w:r>
      <w:r w:rsidRPr="007D45FB">
        <w:rPr>
          <w:rFonts w:cstheme="minorHAnsi"/>
          <w:color w:val="000000"/>
          <w:sz w:val="22"/>
          <w:szCs w:val="22"/>
        </w:rPr>
        <w:t>Na tle branży najlepiej prezent</w:t>
      </w:r>
      <w:r w:rsidR="00126EC9">
        <w:rPr>
          <w:rFonts w:cstheme="minorHAnsi"/>
          <w:color w:val="000000"/>
          <w:sz w:val="22"/>
          <w:szCs w:val="22"/>
        </w:rPr>
        <w:t xml:space="preserve">owały </w:t>
      </w:r>
      <w:r w:rsidRPr="007D45FB">
        <w:rPr>
          <w:rFonts w:cstheme="minorHAnsi"/>
          <w:color w:val="000000"/>
          <w:sz w:val="22"/>
          <w:szCs w:val="22"/>
        </w:rPr>
        <w:t xml:space="preserve">się stałe restauracje i firmy </w:t>
      </w:r>
      <w:r w:rsidR="00D97CDE" w:rsidRPr="007D45FB">
        <w:rPr>
          <w:rFonts w:cstheme="minorHAnsi"/>
          <w:color w:val="000000"/>
          <w:sz w:val="22"/>
          <w:szCs w:val="22"/>
        </w:rPr>
        <w:t>c</w:t>
      </w:r>
      <w:r w:rsidRPr="007D45FB">
        <w:rPr>
          <w:rFonts w:cstheme="minorHAnsi"/>
          <w:color w:val="000000"/>
          <w:sz w:val="22"/>
          <w:szCs w:val="22"/>
        </w:rPr>
        <w:t xml:space="preserve">ateringowe, które </w:t>
      </w:r>
      <w:r w:rsidR="00126EC9">
        <w:rPr>
          <w:rFonts w:cstheme="minorHAnsi"/>
          <w:color w:val="000000"/>
          <w:sz w:val="22"/>
          <w:szCs w:val="22"/>
        </w:rPr>
        <w:t xml:space="preserve">cały czas </w:t>
      </w:r>
      <w:r w:rsidRPr="007D45FB">
        <w:rPr>
          <w:rFonts w:cstheme="minorHAnsi"/>
          <w:color w:val="000000"/>
          <w:sz w:val="22"/>
          <w:szCs w:val="22"/>
        </w:rPr>
        <w:t xml:space="preserve">ratuje możliwość wydawania posiłków bez konieczności przebywania klienta w lokalu. Mimo wszystko niespełna 40 proc. z nich </w:t>
      </w:r>
      <w:r w:rsidR="00126EC9">
        <w:rPr>
          <w:rFonts w:cstheme="minorHAnsi"/>
          <w:color w:val="000000"/>
          <w:sz w:val="22"/>
          <w:szCs w:val="22"/>
        </w:rPr>
        <w:t>było</w:t>
      </w:r>
      <w:r w:rsidRPr="007D45FB">
        <w:rPr>
          <w:rFonts w:cstheme="minorHAnsi"/>
          <w:color w:val="000000"/>
          <w:sz w:val="22"/>
          <w:szCs w:val="22"/>
        </w:rPr>
        <w:t xml:space="preserve"> w dobrej i</w:t>
      </w:r>
      <w:r w:rsidR="008A5E12">
        <w:rPr>
          <w:rFonts w:cstheme="minorHAnsi"/>
          <w:color w:val="000000"/>
          <w:sz w:val="22"/>
          <w:szCs w:val="22"/>
        </w:rPr>
        <w:t xml:space="preserve"> silnej </w:t>
      </w:r>
      <w:r w:rsidRPr="007D45FB">
        <w:rPr>
          <w:rFonts w:cstheme="minorHAnsi"/>
          <w:color w:val="000000"/>
          <w:sz w:val="22"/>
          <w:szCs w:val="22"/>
        </w:rPr>
        <w:t xml:space="preserve">kondycji, z czego zaledwie 6,6 proc. </w:t>
      </w:r>
      <w:r w:rsidR="008A5E12">
        <w:rPr>
          <w:rFonts w:cstheme="minorHAnsi"/>
          <w:color w:val="000000"/>
          <w:sz w:val="22"/>
          <w:szCs w:val="22"/>
        </w:rPr>
        <w:t xml:space="preserve">oceniało sytuację </w:t>
      </w:r>
      <w:r w:rsidRPr="007D45FB">
        <w:rPr>
          <w:rFonts w:cstheme="minorHAnsi"/>
          <w:color w:val="000000"/>
          <w:sz w:val="22"/>
          <w:szCs w:val="22"/>
        </w:rPr>
        <w:t>finansow</w:t>
      </w:r>
      <w:r w:rsidR="008A5E12">
        <w:rPr>
          <w:rFonts w:cstheme="minorHAnsi"/>
          <w:color w:val="000000"/>
          <w:sz w:val="22"/>
          <w:szCs w:val="22"/>
        </w:rPr>
        <w:t>ą maksymalnie pozytywnie</w:t>
      </w:r>
      <w:r w:rsidRPr="007D45FB">
        <w:rPr>
          <w:rFonts w:cstheme="minorHAnsi"/>
          <w:color w:val="000000"/>
          <w:sz w:val="22"/>
          <w:szCs w:val="22"/>
        </w:rPr>
        <w:t>. Jeśli mowa o</w:t>
      </w:r>
      <w:r w:rsidR="00441A52">
        <w:rPr>
          <w:rFonts w:cstheme="minorHAnsi"/>
          <w:color w:val="000000"/>
          <w:sz w:val="22"/>
          <w:szCs w:val="22"/>
        </w:rPr>
        <w:t> </w:t>
      </w:r>
      <w:r w:rsidRPr="007D45FB">
        <w:rPr>
          <w:rFonts w:cstheme="minorHAnsi"/>
          <w:color w:val="000000"/>
          <w:sz w:val="22"/>
          <w:szCs w:val="22"/>
        </w:rPr>
        <w:t>restauracjach</w:t>
      </w:r>
      <w:r w:rsidR="000D6335">
        <w:rPr>
          <w:rFonts w:cstheme="minorHAnsi"/>
          <w:color w:val="000000"/>
          <w:sz w:val="22"/>
          <w:szCs w:val="22"/>
        </w:rPr>
        <w:t>,</w:t>
      </w:r>
      <w:r w:rsidRPr="007D45FB">
        <w:rPr>
          <w:rFonts w:cstheme="minorHAnsi"/>
          <w:color w:val="000000"/>
          <w:sz w:val="22"/>
          <w:szCs w:val="22"/>
        </w:rPr>
        <w:t xml:space="preserve"> to na koniec stycznia zaledwie 6,3 proc. </w:t>
      </w:r>
      <w:r w:rsidR="00126EC9">
        <w:rPr>
          <w:rFonts w:cstheme="minorHAnsi"/>
          <w:color w:val="000000"/>
          <w:sz w:val="22"/>
          <w:szCs w:val="22"/>
        </w:rPr>
        <w:t>było</w:t>
      </w:r>
      <w:r w:rsidRPr="007D45FB">
        <w:rPr>
          <w:rFonts w:cstheme="minorHAnsi"/>
          <w:color w:val="000000"/>
          <w:sz w:val="22"/>
          <w:szCs w:val="22"/>
        </w:rPr>
        <w:t xml:space="preserve"> w kondycji bardzo dobrej, 26,6 proc. w</w:t>
      </w:r>
      <w:r w:rsidR="00441A52">
        <w:rPr>
          <w:rFonts w:cstheme="minorHAnsi"/>
          <w:color w:val="000000"/>
          <w:sz w:val="22"/>
          <w:szCs w:val="22"/>
        </w:rPr>
        <w:t> </w:t>
      </w:r>
      <w:r w:rsidRPr="007D45FB">
        <w:rPr>
          <w:rFonts w:cstheme="minorHAnsi"/>
          <w:color w:val="000000"/>
          <w:sz w:val="22"/>
          <w:szCs w:val="22"/>
        </w:rPr>
        <w:t>dobrej, aż 31,9 proc. raczej w słabej i 35,2 proc. w bardzo złej.</w:t>
      </w:r>
    </w:p>
    <w:p w14:paraId="5E98D877" w14:textId="4960077E" w:rsidR="007D45FB" w:rsidRPr="00710970" w:rsidRDefault="003819D6" w:rsidP="003D7E37">
      <w:pPr>
        <w:shd w:val="clear" w:color="auto" w:fill="FFFFFF"/>
        <w:spacing w:after="240"/>
        <w:rPr>
          <w:rFonts w:eastAsia="Calibri" w:cstheme="minorHAnsi"/>
          <w:i/>
          <w:iCs/>
          <w:color w:val="000000"/>
          <w:sz w:val="18"/>
          <w:szCs w:val="18"/>
          <w:lang w:eastAsia="en-US"/>
        </w:rPr>
      </w:pPr>
      <w:r w:rsidRPr="007D45FB">
        <w:rPr>
          <w:rFonts w:ascii="Times New Roman" w:hAnsi="Times New Roman"/>
          <w:noProof/>
          <w:sz w:val="24"/>
        </w:rPr>
        <w:drawing>
          <wp:inline distT="0" distB="0" distL="0" distR="0" wp14:anchorId="2CDE1088" wp14:editId="3D2CA9D2">
            <wp:extent cx="5760720" cy="3301341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5DA0AC67-662F-4DF8-9E1A-EEA0236E00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710970">
        <w:rPr>
          <w:rFonts w:eastAsia="Calibri" w:cstheme="minorHAnsi"/>
          <w:i/>
          <w:iCs/>
          <w:color w:val="000000"/>
          <w:sz w:val="16"/>
          <w:szCs w:val="16"/>
          <w:lang w:eastAsia="en-US"/>
        </w:rPr>
        <w:t>Źródło:</w:t>
      </w:r>
      <w:r w:rsidR="008D2568" w:rsidRPr="00710970">
        <w:rPr>
          <w:rFonts w:eastAsia="Calibri" w:cstheme="minorHAnsi"/>
          <w:i/>
          <w:iCs/>
          <w:color w:val="000000"/>
          <w:sz w:val="16"/>
          <w:szCs w:val="16"/>
          <w:lang w:eastAsia="en-US"/>
        </w:rPr>
        <w:t xml:space="preserve"> </w:t>
      </w:r>
      <w:proofErr w:type="spellStart"/>
      <w:r w:rsidRPr="00710970">
        <w:rPr>
          <w:rFonts w:eastAsia="Calibri" w:cstheme="minorHAnsi"/>
          <w:i/>
          <w:iCs/>
          <w:color w:val="000000"/>
          <w:sz w:val="16"/>
          <w:szCs w:val="16"/>
          <w:lang w:eastAsia="en-US"/>
        </w:rPr>
        <w:t>Dun</w:t>
      </w:r>
      <w:proofErr w:type="spellEnd"/>
      <w:r w:rsidRPr="00710970">
        <w:rPr>
          <w:rFonts w:eastAsia="Calibri" w:cstheme="minorHAnsi"/>
          <w:i/>
          <w:iCs/>
          <w:color w:val="000000"/>
          <w:sz w:val="16"/>
          <w:szCs w:val="16"/>
          <w:lang w:eastAsia="en-US"/>
        </w:rPr>
        <w:t xml:space="preserve"> &amp; </w:t>
      </w:r>
      <w:proofErr w:type="spellStart"/>
      <w:r w:rsidRPr="00710970">
        <w:rPr>
          <w:rFonts w:eastAsia="Calibri" w:cstheme="minorHAnsi"/>
          <w:i/>
          <w:iCs/>
          <w:color w:val="000000"/>
          <w:sz w:val="16"/>
          <w:szCs w:val="16"/>
          <w:lang w:eastAsia="en-US"/>
        </w:rPr>
        <w:t>Bradstreet</w:t>
      </w:r>
      <w:proofErr w:type="spellEnd"/>
    </w:p>
    <w:p w14:paraId="661FF7D7" w14:textId="77777777" w:rsidR="00E21835" w:rsidRPr="007D45FB" w:rsidRDefault="00E21835" w:rsidP="00E21835">
      <w:pPr>
        <w:spacing w:before="120"/>
        <w:jc w:val="both"/>
        <w:rPr>
          <w:bCs/>
          <w:color w:val="595959" w:themeColor="text1" w:themeTint="A6"/>
          <w:sz w:val="18"/>
          <w:szCs w:val="18"/>
        </w:rPr>
      </w:pPr>
      <w:r w:rsidRPr="007D45FB">
        <w:rPr>
          <w:b/>
          <w:bCs/>
          <w:color w:val="595959" w:themeColor="text1" w:themeTint="A6"/>
          <w:sz w:val="18"/>
          <w:szCs w:val="18"/>
        </w:rPr>
        <w:t xml:space="preserve">Biuro Informacji Gospodarczej InfoMonitor </w:t>
      </w:r>
      <w:r w:rsidRPr="007D45FB">
        <w:rPr>
          <w:bCs/>
          <w:color w:val="595959" w:themeColor="text1" w:themeTint="A6"/>
          <w:sz w:val="18"/>
          <w:szCs w:val="18"/>
        </w:rPr>
        <w:t>(BIG InfoMonitor) prowadzi Rejestr Dłużników BIG. Działając w oparciu o Ustawę o udostępnianiu informacji gospodarczych i wymianie danych gospodarczych przyjmuje, przechowuje i udostępnia informacje gospodarcze o przeterminowanym zadłużeniu osób i firm. BIG InfoMonitor umożliwia dostęp do baz: Biura Informacji Kredytowej i Związku Banków Polskich, dzięki czemu stanowi platformę wymiany informacji pomiędzy sektorem bankowym i pozostałymi sektorami gospodarki. Oferuje również sektorowi bankowemu i przedsiębiorcom narzędzia do weryfikowania wiarygodności płatniczej klientów i kontrahentów oraz wspiera ich w odzyskiwaniu zaległych należności. BIG InfoMonitor jest spółką zależną sektora bankowego - poprzez Biuro Informacji Kredytowej – swojego głównego akcjonariusza.</w:t>
      </w:r>
    </w:p>
    <w:p w14:paraId="7373D6C2" w14:textId="77777777" w:rsidR="00E21835" w:rsidRPr="007D45FB" w:rsidRDefault="00E21835" w:rsidP="00E21835">
      <w:pPr>
        <w:spacing w:after="120"/>
        <w:ind w:left="1423"/>
        <w:contextualSpacing/>
        <w:jc w:val="both"/>
      </w:pPr>
    </w:p>
    <w:p w14:paraId="3E02C0A5" w14:textId="77777777" w:rsidR="00E21835" w:rsidRPr="007D45FB" w:rsidRDefault="00E21835" w:rsidP="00A72DC6">
      <w:pPr>
        <w:spacing w:after="120"/>
        <w:jc w:val="both"/>
        <w:rPr>
          <w:rFonts w:cs="Arial"/>
          <w:b/>
          <w:color w:val="595959" w:themeColor="text1" w:themeTint="A6"/>
          <w:sz w:val="18"/>
          <w:szCs w:val="18"/>
        </w:rPr>
      </w:pPr>
      <w:r w:rsidRPr="007D45FB">
        <w:rPr>
          <w:rFonts w:cs="Arial"/>
          <w:b/>
          <w:color w:val="595959" w:themeColor="text1" w:themeTint="A6"/>
          <w:sz w:val="18"/>
          <w:szCs w:val="18"/>
        </w:rPr>
        <w:t>Kontakt dla prasy: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3"/>
        <w:gridCol w:w="4539"/>
      </w:tblGrid>
      <w:tr w:rsidR="00E21835" w:rsidRPr="007D45FB" w14:paraId="42718E02" w14:textId="77777777" w:rsidTr="00A72DC6">
        <w:tc>
          <w:tcPr>
            <w:tcW w:w="4533" w:type="dxa"/>
            <w:hideMark/>
          </w:tcPr>
          <w:p w14:paraId="031336C4" w14:textId="77777777" w:rsidR="00E21835" w:rsidRPr="007D45FB" w:rsidRDefault="00E21835" w:rsidP="00380173">
            <w:pPr>
              <w:ind w:left="-108"/>
              <w:jc w:val="both"/>
              <w:rPr>
                <w:rFonts w:cs="Arial"/>
                <w:b/>
                <w:color w:val="595959" w:themeColor="text1" w:themeTint="A6"/>
                <w:sz w:val="18"/>
                <w:szCs w:val="18"/>
              </w:rPr>
            </w:pPr>
            <w:r w:rsidRPr="007D45FB">
              <w:rPr>
                <w:rFonts w:cs="Arial"/>
                <w:b/>
                <w:color w:val="595959" w:themeColor="text1" w:themeTint="A6"/>
                <w:sz w:val="18"/>
                <w:szCs w:val="18"/>
              </w:rPr>
              <w:t>Halina Kochalska</w:t>
            </w:r>
          </w:p>
          <w:p w14:paraId="13289D80" w14:textId="77777777" w:rsidR="00E21835" w:rsidRPr="007D45FB" w:rsidRDefault="00E21835" w:rsidP="00380173">
            <w:pPr>
              <w:ind w:left="-108"/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7D45FB">
              <w:rPr>
                <w:rFonts w:cs="Arial"/>
                <w:color w:val="595959" w:themeColor="text1" w:themeTint="A6"/>
                <w:sz w:val="18"/>
                <w:szCs w:val="18"/>
              </w:rPr>
              <w:t>Rzecznik Prasowy</w:t>
            </w:r>
          </w:p>
          <w:p w14:paraId="182EF5FF" w14:textId="77777777" w:rsidR="00E21835" w:rsidRPr="007D45FB" w:rsidRDefault="00E21835" w:rsidP="00380173">
            <w:pPr>
              <w:ind w:left="-108"/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7D45FB">
              <w:rPr>
                <w:rFonts w:cs="Arial"/>
                <w:color w:val="595959" w:themeColor="text1" w:themeTint="A6"/>
                <w:sz w:val="18"/>
                <w:szCs w:val="18"/>
              </w:rPr>
              <w:t>tel.: +48 22 486 56 16</w:t>
            </w:r>
          </w:p>
          <w:p w14:paraId="5C9FEE7C" w14:textId="77777777" w:rsidR="00E21835" w:rsidRPr="007D45FB" w:rsidRDefault="00E21835" w:rsidP="00380173">
            <w:pPr>
              <w:ind w:left="-108"/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7D45FB">
              <w:rPr>
                <w:rFonts w:cs="Arial"/>
                <w:color w:val="595959" w:themeColor="text1" w:themeTint="A6"/>
                <w:sz w:val="18"/>
                <w:szCs w:val="18"/>
              </w:rPr>
              <w:t>kom.: + 48 602 601 010</w:t>
            </w:r>
          </w:p>
          <w:p w14:paraId="7E8CE362" w14:textId="77777777" w:rsidR="00E21835" w:rsidRPr="007D45FB" w:rsidRDefault="00AC002A" w:rsidP="00380173">
            <w:pPr>
              <w:ind w:left="-108"/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hyperlink r:id="rId12" w:history="1">
              <w:r w:rsidR="00E21835" w:rsidRPr="007D45FB">
                <w:rPr>
                  <w:color w:val="595959" w:themeColor="text1" w:themeTint="A6"/>
                  <w:sz w:val="18"/>
                  <w:szCs w:val="18"/>
                </w:rPr>
                <w:t>Halina.Kochalska@big.pl</w:t>
              </w:r>
            </w:hyperlink>
          </w:p>
        </w:tc>
        <w:tc>
          <w:tcPr>
            <w:tcW w:w="4539" w:type="dxa"/>
            <w:hideMark/>
          </w:tcPr>
          <w:p w14:paraId="7DFC2CB8" w14:textId="77777777" w:rsidR="00E21835" w:rsidRPr="007D45FB" w:rsidRDefault="00E21835" w:rsidP="00380173">
            <w:pPr>
              <w:jc w:val="both"/>
              <w:rPr>
                <w:rFonts w:cs="Arial"/>
                <w:b/>
                <w:color w:val="595959" w:themeColor="text1" w:themeTint="A6"/>
                <w:sz w:val="18"/>
                <w:szCs w:val="18"/>
              </w:rPr>
            </w:pPr>
            <w:r w:rsidRPr="007D45FB">
              <w:rPr>
                <w:rFonts w:cs="Arial"/>
                <w:b/>
                <w:color w:val="595959" w:themeColor="text1" w:themeTint="A6"/>
                <w:sz w:val="18"/>
                <w:szCs w:val="18"/>
              </w:rPr>
              <w:t>Diana Borowiecka</w:t>
            </w:r>
          </w:p>
          <w:p w14:paraId="4E4C9471" w14:textId="77777777" w:rsidR="00E21835" w:rsidRPr="007D45FB" w:rsidRDefault="00E21835" w:rsidP="00380173">
            <w:pPr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7D45FB">
              <w:rPr>
                <w:rFonts w:cs="Arial"/>
                <w:color w:val="595959" w:themeColor="text1" w:themeTint="A6"/>
                <w:sz w:val="18"/>
                <w:szCs w:val="18"/>
              </w:rPr>
              <w:t>Biuro PR i Komunikacji</w:t>
            </w:r>
          </w:p>
          <w:p w14:paraId="6AE787CB" w14:textId="77777777" w:rsidR="00E21835" w:rsidRPr="007D45FB" w:rsidRDefault="00E21835" w:rsidP="00380173">
            <w:pPr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7D45FB">
              <w:rPr>
                <w:rFonts w:cs="Arial"/>
                <w:color w:val="595959" w:themeColor="text1" w:themeTint="A6"/>
                <w:sz w:val="18"/>
                <w:szCs w:val="18"/>
              </w:rPr>
              <w:t>tel.: +48 22 486 56 46</w:t>
            </w:r>
          </w:p>
          <w:p w14:paraId="4F51614B" w14:textId="77777777" w:rsidR="00E21835" w:rsidRPr="007D45FB" w:rsidRDefault="00E21835" w:rsidP="00380173">
            <w:pPr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7D45FB">
              <w:rPr>
                <w:rFonts w:cs="Arial"/>
                <w:color w:val="595959" w:themeColor="text1" w:themeTint="A6"/>
                <w:sz w:val="18"/>
                <w:szCs w:val="18"/>
              </w:rPr>
              <w:t>kom.: + 48 607 146 583</w:t>
            </w:r>
          </w:p>
          <w:p w14:paraId="000E5F7A" w14:textId="77777777" w:rsidR="00E21835" w:rsidRPr="007D45FB" w:rsidRDefault="00AC002A" w:rsidP="00380173">
            <w:pPr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hyperlink r:id="rId13" w:history="1">
              <w:r w:rsidR="00E21835" w:rsidRPr="007D45FB">
                <w:rPr>
                  <w:color w:val="595959" w:themeColor="text1" w:themeTint="A6"/>
                  <w:sz w:val="18"/>
                  <w:szCs w:val="18"/>
                </w:rPr>
                <w:t>Diana.Borowiecka@big.pl</w:t>
              </w:r>
            </w:hyperlink>
            <w:r w:rsidR="00E21835" w:rsidRPr="007D45FB">
              <w:rPr>
                <w:rFonts w:cs="Arial"/>
                <w:color w:val="595959" w:themeColor="text1" w:themeTint="A6"/>
                <w:sz w:val="18"/>
                <w:szCs w:val="18"/>
              </w:rPr>
              <w:t xml:space="preserve"> </w:t>
            </w:r>
          </w:p>
        </w:tc>
      </w:tr>
    </w:tbl>
    <w:p w14:paraId="23934695" w14:textId="77777777" w:rsidR="00380173" w:rsidRPr="007D45FB" w:rsidRDefault="00380173" w:rsidP="00152636"/>
    <w:sectPr w:rsidR="00380173" w:rsidRPr="007D45FB" w:rsidSect="00380173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2180" w:right="1417" w:bottom="1417" w:left="1417" w:header="709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28F6C" w14:textId="77777777" w:rsidR="00AC002A" w:rsidRDefault="00AC002A" w:rsidP="00E21835">
      <w:r>
        <w:separator/>
      </w:r>
    </w:p>
  </w:endnote>
  <w:endnote w:type="continuationSeparator" w:id="0">
    <w:p w14:paraId="45D8E1A0" w14:textId="77777777" w:rsidR="00AC002A" w:rsidRDefault="00AC002A" w:rsidP="00E2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D4E44" w14:textId="77777777" w:rsidR="00380173" w:rsidRDefault="00A624B8" w:rsidP="003801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407166" w14:textId="77777777" w:rsidR="00380173" w:rsidRDefault="00380173" w:rsidP="0038017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F0A69" w14:textId="77777777" w:rsidR="00380173" w:rsidRDefault="00A624B8" w:rsidP="003801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34E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77F33F0" w14:textId="77777777" w:rsidR="00380173" w:rsidRPr="00D94BC7" w:rsidRDefault="003801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76B3D" w14:textId="77777777" w:rsidR="00AC002A" w:rsidRDefault="00AC002A" w:rsidP="00E21835">
      <w:r>
        <w:separator/>
      </w:r>
    </w:p>
  </w:footnote>
  <w:footnote w:type="continuationSeparator" w:id="0">
    <w:p w14:paraId="55166F94" w14:textId="77777777" w:rsidR="00AC002A" w:rsidRDefault="00AC002A" w:rsidP="00E2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FA2D6" w14:textId="40215D0D" w:rsidR="00380173" w:rsidRDefault="00A624B8" w:rsidP="003801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447B785" wp14:editId="5AFB951C">
          <wp:simplePos x="0" y="0"/>
          <wp:positionH relativeFrom="column">
            <wp:posOffset>4500245</wp:posOffset>
          </wp:positionH>
          <wp:positionV relativeFrom="paragraph">
            <wp:posOffset>274081</wp:posOffset>
          </wp:positionV>
          <wp:extent cx="1144905" cy="486410"/>
          <wp:effectExtent l="0" t="0" r="0" b="8890"/>
          <wp:wrapSquare wrapText="bothSides"/>
          <wp:docPr id="64" name="Obraz 64" descr="LogoBIG_pros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BIG_pros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637A3" w14:textId="2C3D20D5" w:rsidR="00380173" w:rsidRDefault="00A624B8">
    <w:pPr>
      <w:pStyle w:val="Nagwek"/>
      <w:rPr>
        <w:b/>
        <w:sz w:val="24"/>
      </w:rPr>
    </w:pPr>
    <w:r w:rsidRPr="00695EB6">
      <w:rPr>
        <w:b/>
        <w:sz w:val="24"/>
      </w:rPr>
      <w:t>Informacja prasowa</w:t>
    </w:r>
    <w:r>
      <w:rPr>
        <w:b/>
        <w:sz w:val="24"/>
      </w:rPr>
      <w:t xml:space="preserve"> </w:t>
    </w:r>
  </w:p>
  <w:p w14:paraId="32014893" w14:textId="1217E98D" w:rsidR="00380173" w:rsidRPr="00695EB6" w:rsidRDefault="00A624B8" w:rsidP="00F6595D">
    <w:pPr>
      <w:pStyle w:val="Nagwek"/>
      <w:jc w:val="right"/>
      <w:rPr>
        <w:b/>
        <w:sz w:val="24"/>
      </w:rPr>
    </w:pPr>
    <w:r>
      <w:rPr>
        <w:b/>
        <w:noProof/>
        <w:sz w:val="24"/>
        <w:lang w:eastAsia="pl-PL"/>
      </w:rPr>
      <w:drawing>
        <wp:inline distT="0" distB="0" distL="0" distR="0" wp14:anchorId="234D20D4" wp14:editId="60F1290D">
          <wp:extent cx="1146175" cy="4876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835"/>
    <w:rsid w:val="00002838"/>
    <w:rsid w:val="00006278"/>
    <w:rsid w:val="000275D2"/>
    <w:rsid w:val="00034865"/>
    <w:rsid w:val="00041508"/>
    <w:rsid w:val="00044FDA"/>
    <w:rsid w:val="000501FE"/>
    <w:rsid w:val="00063611"/>
    <w:rsid w:val="0008200B"/>
    <w:rsid w:val="000831FE"/>
    <w:rsid w:val="00090CA5"/>
    <w:rsid w:val="00097B0E"/>
    <w:rsid w:val="000B0132"/>
    <w:rsid w:val="000B21DA"/>
    <w:rsid w:val="000B221E"/>
    <w:rsid w:val="000B5D53"/>
    <w:rsid w:val="000C34CC"/>
    <w:rsid w:val="000C3D45"/>
    <w:rsid w:val="000D6335"/>
    <w:rsid w:val="000E2219"/>
    <w:rsid w:val="000F6B0F"/>
    <w:rsid w:val="00111206"/>
    <w:rsid w:val="001119F0"/>
    <w:rsid w:val="00121ED5"/>
    <w:rsid w:val="0012352A"/>
    <w:rsid w:val="00126EC9"/>
    <w:rsid w:val="00131DBC"/>
    <w:rsid w:val="00143E0D"/>
    <w:rsid w:val="00144810"/>
    <w:rsid w:val="00152636"/>
    <w:rsid w:val="00163F2D"/>
    <w:rsid w:val="0017163C"/>
    <w:rsid w:val="00172244"/>
    <w:rsid w:val="00177B21"/>
    <w:rsid w:val="001803FB"/>
    <w:rsid w:val="001A07AF"/>
    <w:rsid w:val="001B6CA4"/>
    <w:rsid w:val="001C4C8D"/>
    <w:rsid w:val="001D0ABB"/>
    <w:rsid w:val="001E59D5"/>
    <w:rsid w:val="00204525"/>
    <w:rsid w:val="00207C46"/>
    <w:rsid w:val="00213D86"/>
    <w:rsid w:val="00220FDB"/>
    <w:rsid w:val="00224C30"/>
    <w:rsid w:val="0024602F"/>
    <w:rsid w:val="00251D79"/>
    <w:rsid w:val="00252025"/>
    <w:rsid w:val="002524F8"/>
    <w:rsid w:val="00252FA1"/>
    <w:rsid w:val="002555F2"/>
    <w:rsid w:val="00275B04"/>
    <w:rsid w:val="002912AD"/>
    <w:rsid w:val="00291D56"/>
    <w:rsid w:val="00296E10"/>
    <w:rsid w:val="002A73E0"/>
    <w:rsid w:val="002B7CB8"/>
    <w:rsid w:val="002C6D7B"/>
    <w:rsid w:val="002E2FD0"/>
    <w:rsid w:val="00314132"/>
    <w:rsid w:val="003257BF"/>
    <w:rsid w:val="00327CC0"/>
    <w:rsid w:val="0033056D"/>
    <w:rsid w:val="00342033"/>
    <w:rsid w:val="003608BE"/>
    <w:rsid w:val="00364BC5"/>
    <w:rsid w:val="00375369"/>
    <w:rsid w:val="00380173"/>
    <w:rsid w:val="003819D6"/>
    <w:rsid w:val="00387C71"/>
    <w:rsid w:val="003B2D0D"/>
    <w:rsid w:val="003D4EEC"/>
    <w:rsid w:val="003D5020"/>
    <w:rsid w:val="003D76B2"/>
    <w:rsid w:val="003D7E37"/>
    <w:rsid w:val="003E2596"/>
    <w:rsid w:val="003E54F0"/>
    <w:rsid w:val="00406731"/>
    <w:rsid w:val="004067BA"/>
    <w:rsid w:val="00412590"/>
    <w:rsid w:val="004263C9"/>
    <w:rsid w:val="004263D4"/>
    <w:rsid w:val="004311BB"/>
    <w:rsid w:val="004334E0"/>
    <w:rsid w:val="00437479"/>
    <w:rsid w:val="00441A52"/>
    <w:rsid w:val="00446DC0"/>
    <w:rsid w:val="00452A2E"/>
    <w:rsid w:val="004566AD"/>
    <w:rsid w:val="004676F7"/>
    <w:rsid w:val="00492737"/>
    <w:rsid w:val="004933C9"/>
    <w:rsid w:val="004934BF"/>
    <w:rsid w:val="004D0C0B"/>
    <w:rsid w:val="004D3139"/>
    <w:rsid w:val="004E0545"/>
    <w:rsid w:val="004E429D"/>
    <w:rsid w:val="00501B5F"/>
    <w:rsid w:val="005115D4"/>
    <w:rsid w:val="00512257"/>
    <w:rsid w:val="00513E8D"/>
    <w:rsid w:val="005165FE"/>
    <w:rsid w:val="005453B8"/>
    <w:rsid w:val="00557923"/>
    <w:rsid w:val="00562BE9"/>
    <w:rsid w:val="005C05C7"/>
    <w:rsid w:val="005C07E0"/>
    <w:rsid w:val="005C17BD"/>
    <w:rsid w:val="005E20AB"/>
    <w:rsid w:val="005E2EF2"/>
    <w:rsid w:val="005F13FF"/>
    <w:rsid w:val="0061226C"/>
    <w:rsid w:val="00615915"/>
    <w:rsid w:val="006216ED"/>
    <w:rsid w:val="00625096"/>
    <w:rsid w:val="00633FC4"/>
    <w:rsid w:val="00647AAC"/>
    <w:rsid w:val="0065254E"/>
    <w:rsid w:val="006550C0"/>
    <w:rsid w:val="00655A1D"/>
    <w:rsid w:val="00663A8F"/>
    <w:rsid w:val="00666213"/>
    <w:rsid w:val="006727DD"/>
    <w:rsid w:val="006767A0"/>
    <w:rsid w:val="00676CFA"/>
    <w:rsid w:val="00685497"/>
    <w:rsid w:val="00692ABF"/>
    <w:rsid w:val="006A31CC"/>
    <w:rsid w:val="006D0D8E"/>
    <w:rsid w:val="006D5A85"/>
    <w:rsid w:val="006D6F87"/>
    <w:rsid w:val="006E056C"/>
    <w:rsid w:val="006E26D2"/>
    <w:rsid w:val="006E3AA0"/>
    <w:rsid w:val="006E7366"/>
    <w:rsid w:val="006F3438"/>
    <w:rsid w:val="007052BD"/>
    <w:rsid w:val="0070612A"/>
    <w:rsid w:val="00710970"/>
    <w:rsid w:val="007253B6"/>
    <w:rsid w:val="00727A86"/>
    <w:rsid w:val="00727B03"/>
    <w:rsid w:val="00731B26"/>
    <w:rsid w:val="00735055"/>
    <w:rsid w:val="0074075B"/>
    <w:rsid w:val="007650CF"/>
    <w:rsid w:val="00773433"/>
    <w:rsid w:val="00773CB2"/>
    <w:rsid w:val="007819DF"/>
    <w:rsid w:val="007945FF"/>
    <w:rsid w:val="007A2F73"/>
    <w:rsid w:val="007A5AF2"/>
    <w:rsid w:val="007A5CA6"/>
    <w:rsid w:val="007A7346"/>
    <w:rsid w:val="007C0EDF"/>
    <w:rsid w:val="007C4BB5"/>
    <w:rsid w:val="007D12C4"/>
    <w:rsid w:val="007D45FB"/>
    <w:rsid w:val="007D7F2B"/>
    <w:rsid w:val="007E6D47"/>
    <w:rsid w:val="007F488E"/>
    <w:rsid w:val="007F620A"/>
    <w:rsid w:val="00821B8F"/>
    <w:rsid w:val="0082243F"/>
    <w:rsid w:val="00826EFD"/>
    <w:rsid w:val="00826FF3"/>
    <w:rsid w:val="00832753"/>
    <w:rsid w:val="00833995"/>
    <w:rsid w:val="00836F41"/>
    <w:rsid w:val="00886F3B"/>
    <w:rsid w:val="00891E25"/>
    <w:rsid w:val="008927EF"/>
    <w:rsid w:val="00897A9E"/>
    <w:rsid w:val="008A5E12"/>
    <w:rsid w:val="008A720F"/>
    <w:rsid w:val="008B2EB1"/>
    <w:rsid w:val="008C5E8A"/>
    <w:rsid w:val="008D2258"/>
    <w:rsid w:val="008D2568"/>
    <w:rsid w:val="008D3EBB"/>
    <w:rsid w:val="008E14B9"/>
    <w:rsid w:val="008E3FD5"/>
    <w:rsid w:val="008E5C14"/>
    <w:rsid w:val="008F7F7E"/>
    <w:rsid w:val="009021FE"/>
    <w:rsid w:val="00905E26"/>
    <w:rsid w:val="00906DE8"/>
    <w:rsid w:val="0091182E"/>
    <w:rsid w:val="00917D58"/>
    <w:rsid w:val="00945887"/>
    <w:rsid w:val="00945FE8"/>
    <w:rsid w:val="00957ED1"/>
    <w:rsid w:val="00967C25"/>
    <w:rsid w:val="00980D76"/>
    <w:rsid w:val="009877CD"/>
    <w:rsid w:val="009901BD"/>
    <w:rsid w:val="00995A56"/>
    <w:rsid w:val="009A1A61"/>
    <w:rsid w:val="009B3771"/>
    <w:rsid w:val="009B53D4"/>
    <w:rsid w:val="009C516D"/>
    <w:rsid w:val="009D64F7"/>
    <w:rsid w:val="00A03759"/>
    <w:rsid w:val="00A03A0E"/>
    <w:rsid w:val="00A07F7D"/>
    <w:rsid w:val="00A17761"/>
    <w:rsid w:val="00A26D47"/>
    <w:rsid w:val="00A46497"/>
    <w:rsid w:val="00A5079B"/>
    <w:rsid w:val="00A5151E"/>
    <w:rsid w:val="00A5282D"/>
    <w:rsid w:val="00A552DC"/>
    <w:rsid w:val="00A6021D"/>
    <w:rsid w:val="00A624B8"/>
    <w:rsid w:val="00A6260E"/>
    <w:rsid w:val="00A647B9"/>
    <w:rsid w:val="00A6763F"/>
    <w:rsid w:val="00A72DC6"/>
    <w:rsid w:val="00A77CEC"/>
    <w:rsid w:val="00A82570"/>
    <w:rsid w:val="00A86692"/>
    <w:rsid w:val="00A93037"/>
    <w:rsid w:val="00AA0EA1"/>
    <w:rsid w:val="00AA2341"/>
    <w:rsid w:val="00AA2C38"/>
    <w:rsid w:val="00AA4570"/>
    <w:rsid w:val="00AB2BFA"/>
    <w:rsid w:val="00AC002A"/>
    <w:rsid w:val="00AC3473"/>
    <w:rsid w:val="00AC4BDB"/>
    <w:rsid w:val="00AD35C9"/>
    <w:rsid w:val="00AD4973"/>
    <w:rsid w:val="00AD678F"/>
    <w:rsid w:val="00AE4895"/>
    <w:rsid w:val="00AE6A37"/>
    <w:rsid w:val="00AF35F5"/>
    <w:rsid w:val="00B00A4A"/>
    <w:rsid w:val="00B046C8"/>
    <w:rsid w:val="00B04D23"/>
    <w:rsid w:val="00B05375"/>
    <w:rsid w:val="00B2390D"/>
    <w:rsid w:val="00B500AC"/>
    <w:rsid w:val="00B50133"/>
    <w:rsid w:val="00B62507"/>
    <w:rsid w:val="00B643BB"/>
    <w:rsid w:val="00B64D40"/>
    <w:rsid w:val="00B71385"/>
    <w:rsid w:val="00B91D50"/>
    <w:rsid w:val="00B9644C"/>
    <w:rsid w:val="00BA15BC"/>
    <w:rsid w:val="00BA7741"/>
    <w:rsid w:val="00BB79B7"/>
    <w:rsid w:val="00BC59EB"/>
    <w:rsid w:val="00BD3B74"/>
    <w:rsid w:val="00BD6AC6"/>
    <w:rsid w:val="00BF2882"/>
    <w:rsid w:val="00C03AF3"/>
    <w:rsid w:val="00C06250"/>
    <w:rsid w:val="00C110F7"/>
    <w:rsid w:val="00C168E8"/>
    <w:rsid w:val="00C20EC3"/>
    <w:rsid w:val="00C31ECB"/>
    <w:rsid w:val="00C34457"/>
    <w:rsid w:val="00C43F8E"/>
    <w:rsid w:val="00C46BCA"/>
    <w:rsid w:val="00C47B9F"/>
    <w:rsid w:val="00C53A89"/>
    <w:rsid w:val="00C65453"/>
    <w:rsid w:val="00C6688C"/>
    <w:rsid w:val="00C732D5"/>
    <w:rsid w:val="00C91A4F"/>
    <w:rsid w:val="00CB4CAB"/>
    <w:rsid w:val="00CC28C0"/>
    <w:rsid w:val="00CD03A5"/>
    <w:rsid w:val="00CE3F40"/>
    <w:rsid w:val="00CE41B0"/>
    <w:rsid w:val="00CF28F1"/>
    <w:rsid w:val="00CF3998"/>
    <w:rsid w:val="00CF709C"/>
    <w:rsid w:val="00D177ED"/>
    <w:rsid w:val="00D409FA"/>
    <w:rsid w:val="00D57E88"/>
    <w:rsid w:val="00D6302B"/>
    <w:rsid w:val="00D81608"/>
    <w:rsid w:val="00D83D6A"/>
    <w:rsid w:val="00D93F7F"/>
    <w:rsid w:val="00D94E62"/>
    <w:rsid w:val="00D97CDE"/>
    <w:rsid w:val="00DA0F12"/>
    <w:rsid w:val="00DA7207"/>
    <w:rsid w:val="00DB0E62"/>
    <w:rsid w:val="00DB1ECD"/>
    <w:rsid w:val="00DC049D"/>
    <w:rsid w:val="00DC4953"/>
    <w:rsid w:val="00DC4D16"/>
    <w:rsid w:val="00DD630D"/>
    <w:rsid w:val="00E05AD1"/>
    <w:rsid w:val="00E21835"/>
    <w:rsid w:val="00E252D5"/>
    <w:rsid w:val="00E26260"/>
    <w:rsid w:val="00E26FED"/>
    <w:rsid w:val="00E611D4"/>
    <w:rsid w:val="00EA1DB7"/>
    <w:rsid w:val="00EA75D0"/>
    <w:rsid w:val="00EB109A"/>
    <w:rsid w:val="00EB55B7"/>
    <w:rsid w:val="00EC6E71"/>
    <w:rsid w:val="00EC71A4"/>
    <w:rsid w:val="00EE7A97"/>
    <w:rsid w:val="00EF0F0A"/>
    <w:rsid w:val="00EF12B6"/>
    <w:rsid w:val="00F0586F"/>
    <w:rsid w:val="00F21ECC"/>
    <w:rsid w:val="00F25FCC"/>
    <w:rsid w:val="00F31F61"/>
    <w:rsid w:val="00F36F65"/>
    <w:rsid w:val="00F47F76"/>
    <w:rsid w:val="00F53032"/>
    <w:rsid w:val="00F62876"/>
    <w:rsid w:val="00F62FC5"/>
    <w:rsid w:val="00F6595D"/>
    <w:rsid w:val="00F72BC5"/>
    <w:rsid w:val="00F84B50"/>
    <w:rsid w:val="00F9588F"/>
    <w:rsid w:val="00FD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137A3"/>
  <w15:chartTrackingRefBased/>
  <w15:docId w15:val="{EB6CEB25-8983-44E3-B266-CF16EF37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1835"/>
    <w:pPr>
      <w:spacing w:after="0" w:line="240" w:lineRule="auto"/>
    </w:pPr>
    <w:rPr>
      <w:rFonts w:eastAsia="Times New Roman" w:cs="Times New Roman"/>
      <w:sz w:val="23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1835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E21835"/>
  </w:style>
  <w:style w:type="paragraph" w:styleId="Stopka">
    <w:name w:val="footer"/>
    <w:basedOn w:val="Normalny"/>
    <w:link w:val="StopkaZnak"/>
    <w:unhideWhenUsed/>
    <w:rsid w:val="00E21835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E21835"/>
  </w:style>
  <w:style w:type="character" w:styleId="Numerstrony">
    <w:name w:val="page number"/>
    <w:basedOn w:val="Domylnaczcionkaakapitu"/>
    <w:rsid w:val="00E21835"/>
  </w:style>
  <w:style w:type="character" w:styleId="Odwoaniedokomentarza">
    <w:name w:val="annotation reference"/>
    <w:basedOn w:val="Domylnaczcionkaakapitu"/>
    <w:uiPriority w:val="99"/>
    <w:semiHidden/>
    <w:unhideWhenUsed/>
    <w:rsid w:val="00E218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18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1835"/>
    <w:rPr>
      <w:rFonts w:eastAsia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1835"/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18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183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1835"/>
    <w:rPr>
      <w:color w:val="0000FF"/>
      <w:u w:val="single"/>
    </w:rPr>
  </w:style>
  <w:style w:type="paragraph" w:customStyle="1" w:styleId="go">
    <w:name w:val="go"/>
    <w:basedOn w:val="Normalny"/>
    <w:rsid w:val="00E21835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8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835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B6250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5497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0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055"/>
    <w:rPr>
      <w:rFonts w:eastAsia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0612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0A4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0A4A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0A4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732D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C73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mailto:Diana.Borowiecka@big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alina.Kochalska@big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alina.kochalska\Documents\Gastronomia%2003.20%2001.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Zeszy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baseline="0">
                <a:effectLst/>
              </a:rPr>
              <a:t>Liczba firm gastronomicznych z zaległościami</a:t>
            </a:r>
            <a:endParaRPr lang="pl-PL" sz="1100" b="1"/>
          </a:p>
        </c:rich>
      </c:tx>
      <c:layout>
        <c:manualLayout>
          <c:xMode val="edge"/>
          <c:yMode val="edge"/>
          <c:x val="0.2689006652503442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100" b="1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8596138371369576"/>
          <c:y val="5.9157376574489648E-2"/>
          <c:w val="0.58952061784654053"/>
          <c:h val="0.926726167336799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Arkusz1!$B$13</c:f>
              <c:strCache>
                <c:ptCount val="1"/>
                <c:pt idx="0">
                  <c:v>II 2021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5931-4BDF-9E4B-E2B22782B6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Arkusz1!$A$14:$A$19</c:f>
              <c:strCache>
                <c:ptCount val="6"/>
                <c:pt idx="0">
                  <c:v>Pozostałe usługi</c:v>
                </c:pt>
                <c:pt idx="1">
                  <c:v>Ruchome placówki gastronomiczne</c:v>
                </c:pt>
                <c:pt idx="2">
                  <c:v>Catering</c:v>
                </c:pt>
                <c:pt idx="3">
                  <c:v>Przygotowywanie i podawanie napojów</c:v>
                </c:pt>
                <c:pt idx="4">
                  <c:v>Restauracje i inne stałe placówki gastronomiczne</c:v>
                </c:pt>
                <c:pt idx="5">
                  <c:v>Łacznie </c:v>
                </c:pt>
              </c:strCache>
            </c:strRef>
          </c:cat>
          <c:val>
            <c:numRef>
              <c:f>Arkusz1!$B$14:$B$19</c:f>
              <c:numCache>
                <c:formatCode>_-* #\ ##0_-;\-* #\ ##0_-;_-* "-"??_-;_-@_-</c:formatCode>
                <c:ptCount val="6"/>
                <c:pt idx="0">
                  <c:v>342</c:v>
                </c:pt>
                <c:pt idx="1">
                  <c:v>469</c:v>
                </c:pt>
                <c:pt idx="2">
                  <c:v>871</c:v>
                </c:pt>
                <c:pt idx="3">
                  <c:v>1088</c:v>
                </c:pt>
                <c:pt idx="4">
                  <c:v>7402</c:v>
                </c:pt>
                <c:pt idx="5">
                  <c:v>10172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31-4BDF-9E4B-E2B22782B6FC}"/>
            </c:ext>
          </c:extLst>
        </c:ser>
        <c:ser>
          <c:idx val="1"/>
          <c:order val="1"/>
          <c:tx>
            <c:strRef>
              <c:f>Arkusz1!$C$13</c:f>
              <c:strCache>
                <c:ptCount val="1"/>
                <c:pt idx="0">
                  <c:v>III 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5931-4BDF-9E4B-E2B22782B6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Arkusz1!$A$14:$A$19</c:f>
              <c:strCache>
                <c:ptCount val="6"/>
                <c:pt idx="0">
                  <c:v>Pozostałe usługi</c:v>
                </c:pt>
                <c:pt idx="1">
                  <c:v>Ruchome placówki gastronomiczne</c:v>
                </c:pt>
                <c:pt idx="2">
                  <c:v>Catering</c:v>
                </c:pt>
                <c:pt idx="3">
                  <c:v>Przygotowywanie i podawanie napojów</c:v>
                </c:pt>
                <c:pt idx="4">
                  <c:v>Restauracje i inne stałe placówki gastronomiczne</c:v>
                </c:pt>
                <c:pt idx="5">
                  <c:v>Łacznie </c:v>
                </c:pt>
              </c:strCache>
            </c:strRef>
          </c:cat>
          <c:val>
            <c:numRef>
              <c:f>Arkusz1!$C$14:$C$19</c:f>
              <c:numCache>
                <c:formatCode>_-* #\ ##0_-;\-* #\ ##0_-;_-* "-"??_-;_-@_-</c:formatCode>
                <c:ptCount val="6"/>
                <c:pt idx="0">
                  <c:v>301</c:v>
                </c:pt>
                <c:pt idx="1">
                  <c:v>440</c:v>
                </c:pt>
                <c:pt idx="2">
                  <c:v>833</c:v>
                </c:pt>
                <c:pt idx="3">
                  <c:v>1113</c:v>
                </c:pt>
                <c:pt idx="4">
                  <c:v>7143</c:v>
                </c:pt>
                <c:pt idx="5">
                  <c:v>9830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931-4BDF-9E4B-E2B22782B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2050346720"/>
        <c:axId val="2050336736"/>
      </c:barChart>
      <c:catAx>
        <c:axId val="2050346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50336736"/>
        <c:crosses val="autoZero"/>
        <c:auto val="1"/>
        <c:lblAlgn val="ctr"/>
        <c:lblOffset val="100"/>
        <c:noMultiLvlLbl val="0"/>
      </c:catAx>
      <c:valAx>
        <c:axId val="2050336736"/>
        <c:scaling>
          <c:orientation val="minMax"/>
        </c:scaling>
        <c:delete val="1"/>
        <c:axPos val="b"/>
        <c:numFmt formatCode="_-* #\ ##0_-;\-* #\ ##0_-;_-* &quot;-&quot;??_-;_-@_-" sourceLinked="1"/>
        <c:majorTickMark val="none"/>
        <c:minorTickMark val="none"/>
        <c:tickLblPos val="nextTo"/>
        <c:crossAx val="205034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5166628494407104"/>
          <c:y val="0.80368662673510993"/>
          <c:w val="9.6845567323141785E-2"/>
          <c:h val="0.14313493173759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/>
              <a:t>Zaległości firm gastronomicznych (mln zł)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0463254739266907"/>
          <c:y val="0.12514952777755783"/>
          <c:w val="0.56481192383513568"/>
          <c:h val="0.8579539574199661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Arkusz1!$B$22</c:f>
              <c:strCache>
                <c:ptCount val="1"/>
                <c:pt idx="0">
                  <c:v>II 2021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47C2-4F6E-8630-7644D0F11B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Arkusz1!$A$23:$A$28</c:f>
              <c:strCache>
                <c:ptCount val="6"/>
                <c:pt idx="0">
                  <c:v>Ruchome placówki gastronomiczne</c:v>
                </c:pt>
                <c:pt idx="1">
                  <c:v>Pozostałe usługi</c:v>
                </c:pt>
                <c:pt idx="2">
                  <c:v>Przygotowywanie i podawanie napojów</c:v>
                </c:pt>
                <c:pt idx="3">
                  <c:v>Catering</c:v>
                </c:pt>
                <c:pt idx="4">
                  <c:v>Restauracje i inne stałe placówki gastronomiczne</c:v>
                </c:pt>
                <c:pt idx="5">
                  <c:v>Łacznie </c:v>
                </c:pt>
              </c:strCache>
            </c:strRef>
          </c:cat>
          <c:val>
            <c:numRef>
              <c:f>Arkusz1!$B$23:$B$28</c:f>
              <c:numCache>
                <c:formatCode>_-* #\ ##0.0_-;\-* #\ ##0.0_-;_-* "-"??_-;_-@_-</c:formatCode>
                <c:ptCount val="6"/>
                <c:pt idx="0">
                  <c:v>16.863157670000003</c:v>
                </c:pt>
                <c:pt idx="1">
                  <c:v>25.935464775038611</c:v>
                </c:pt>
                <c:pt idx="2">
                  <c:v>36.099050535690473</c:v>
                </c:pt>
                <c:pt idx="3">
                  <c:v>45.433462526333336</c:v>
                </c:pt>
                <c:pt idx="4">
                  <c:v>590.4336840101912</c:v>
                </c:pt>
                <c:pt idx="5">
                  <c:v>714.76481951725361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C2-4F6E-8630-7644D0F11B36}"/>
            </c:ext>
          </c:extLst>
        </c:ser>
        <c:ser>
          <c:idx val="1"/>
          <c:order val="1"/>
          <c:tx>
            <c:strRef>
              <c:f>Arkusz1!$C$22</c:f>
              <c:strCache>
                <c:ptCount val="1"/>
                <c:pt idx="0">
                  <c:v>III 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47C2-4F6E-8630-7644D0F11B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Arkusz1!$A$23:$A$28</c:f>
              <c:strCache>
                <c:ptCount val="6"/>
                <c:pt idx="0">
                  <c:v>Ruchome placówki gastronomiczne</c:v>
                </c:pt>
                <c:pt idx="1">
                  <c:v>Pozostałe usługi</c:v>
                </c:pt>
                <c:pt idx="2">
                  <c:v>Przygotowywanie i podawanie napojów</c:v>
                </c:pt>
                <c:pt idx="3">
                  <c:v>Catering</c:v>
                </c:pt>
                <c:pt idx="4">
                  <c:v>Restauracje i inne stałe placówki gastronomiczne</c:v>
                </c:pt>
                <c:pt idx="5">
                  <c:v>Łacznie </c:v>
                </c:pt>
              </c:strCache>
            </c:strRef>
          </c:cat>
          <c:val>
            <c:numRef>
              <c:f>Arkusz1!$C$23:$C$28</c:f>
              <c:numCache>
                <c:formatCode>_-* #\ ##0.0_-;\-* #\ ##0.0_-;_-* "-"??_-;_-@_-</c:formatCode>
                <c:ptCount val="6"/>
                <c:pt idx="0">
                  <c:v>13.74054991</c:v>
                </c:pt>
                <c:pt idx="1">
                  <c:v>24.369382474438613</c:v>
                </c:pt>
                <c:pt idx="2">
                  <c:v>33.676114251757141</c:v>
                </c:pt>
                <c:pt idx="3">
                  <c:v>41.757332479633341</c:v>
                </c:pt>
                <c:pt idx="4">
                  <c:v>533.85493442466702</c:v>
                </c:pt>
                <c:pt idx="5">
                  <c:v>647.39831354049613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7C2-4F6E-8630-7644D0F11B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72307184"/>
        <c:axId val="372294288"/>
      </c:barChart>
      <c:catAx>
        <c:axId val="372307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2294288"/>
        <c:crosses val="autoZero"/>
        <c:auto val="1"/>
        <c:lblAlgn val="ctr"/>
        <c:lblOffset val="100"/>
        <c:noMultiLvlLbl val="0"/>
      </c:catAx>
      <c:valAx>
        <c:axId val="372294288"/>
        <c:scaling>
          <c:orientation val="minMax"/>
        </c:scaling>
        <c:delete val="1"/>
        <c:axPos val="b"/>
        <c:numFmt formatCode="_-* #\ ##0.0_-;\-* #\ ##0.0_-;_-* &quot;-&quot;??_-;_-@_-" sourceLinked="1"/>
        <c:majorTickMark val="none"/>
        <c:minorTickMark val="none"/>
        <c:tickLblPos val="nextTo"/>
        <c:crossAx val="372307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5350123286242341"/>
          <c:y val="0.73033578611237837"/>
          <c:w val="0.1011906128899645"/>
          <c:h val="0.194155744095251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/>
              <a:t>Lokale gastronomiczne w Polsce (w tys.)</a:t>
            </a:r>
            <a:endParaRPr lang="en-US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2.4271844660194174E-2"/>
          <c:y val="6.1021617868933141E-2"/>
          <c:w val="0.95145631067961167"/>
          <c:h val="0.851253092447133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2011 r.</c:v>
                </c:pt>
                <c:pt idx="1">
                  <c:v>2012 r.</c:v>
                </c:pt>
                <c:pt idx="2">
                  <c:v>2013 r.</c:v>
                </c:pt>
                <c:pt idx="3">
                  <c:v>2014 r.</c:v>
                </c:pt>
                <c:pt idx="4">
                  <c:v>2015 r.</c:v>
                </c:pt>
                <c:pt idx="5">
                  <c:v>2016 r.</c:v>
                </c:pt>
                <c:pt idx="6">
                  <c:v>2017 r.</c:v>
                </c:pt>
                <c:pt idx="7">
                  <c:v>2018 r.</c:v>
                </c:pt>
                <c:pt idx="8">
                  <c:v>2019 r.</c:v>
                </c:pt>
                <c:pt idx="9">
                  <c:v>2020 r.</c:v>
                </c:pt>
                <c:pt idx="10">
                  <c:v>IQ 2021 r.</c:v>
                </c:pt>
              </c:strCache>
            </c:strRef>
          </c:cat>
          <c:val>
            <c:numRef>
              <c:f>Arkusz1!$B$2:$B$12</c:f>
              <c:numCache>
                <c:formatCode>General</c:formatCode>
                <c:ptCount val="11"/>
                <c:pt idx="0">
                  <c:v>70.7</c:v>
                </c:pt>
                <c:pt idx="1">
                  <c:v>71.8</c:v>
                </c:pt>
                <c:pt idx="2">
                  <c:v>73.2</c:v>
                </c:pt>
                <c:pt idx="3">
                  <c:v>74.2</c:v>
                </c:pt>
                <c:pt idx="4">
                  <c:v>74.8</c:v>
                </c:pt>
                <c:pt idx="5">
                  <c:v>75.3</c:v>
                </c:pt>
                <c:pt idx="6">
                  <c:v>76.8</c:v>
                </c:pt>
                <c:pt idx="7">
                  <c:v>79.2</c:v>
                </c:pt>
                <c:pt idx="8">
                  <c:v>83.3</c:v>
                </c:pt>
                <c:pt idx="9">
                  <c:v>85.5</c:v>
                </c:pt>
                <c:pt idx="10">
                  <c:v>85.7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12-4557-9FD8-5AEDBFF34D0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1"/>
        <c:axId val="467988304"/>
        <c:axId val="467985680"/>
      </c:barChart>
      <c:catAx>
        <c:axId val="46798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7985680"/>
        <c:crosses val="autoZero"/>
        <c:auto val="1"/>
        <c:lblAlgn val="ctr"/>
        <c:lblOffset val="100"/>
        <c:noMultiLvlLbl val="0"/>
      </c:catAx>
      <c:valAx>
        <c:axId val="4679856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67988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/>
              <a:t>Kondycja</a:t>
            </a:r>
            <a:r>
              <a:rPr lang="pl-PL" sz="1100" b="1" baseline="0"/>
              <a:t> finansowa polskiej gastronomii</a:t>
            </a:r>
            <a:endParaRPr lang="pl-PL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707265758446861"/>
          <c:y val="0.13372000000000001"/>
          <c:w val="0.61384132538988179"/>
          <c:h val="0.7796107086614173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Arkusz1!$I$10</c:f>
              <c:strCache>
                <c:ptCount val="1"/>
                <c:pt idx="0">
                  <c:v>Silna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6137566137565327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959-4EB6-A3A8-E2DC68D43D85}"/>
                </c:ext>
              </c:extLst>
            </c:dLbl>
            <c:dLbl>
              <c:idx val="1"/>
              <c:layout>
                <c:manualLayout>
                  <c:x val="1.322751322751314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864-42D7-AE51-0D7398E1FCC4}"/>
                </c:ext>
              </c:extLst>
            </c:dLbl>
            <c:dLbl>
              <c:idx val="3"/>
              <c:layout>
                <c:manualLayout>
                  <c:x val="4.4091710758377423E-3"/>
                  <c:y val="-3.6666243095097579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59-4EB6-A3A8-E2DC68D43D85}"/>
                </c:ext>
              </c:extLst>
            </c:dLbl>
            <c:dLbl>
              <c:idx val="4"/>
              <c:layout>
                <c:manualLayout>
                  <c:x val="8.8183421516754845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59-4EB6-A3A8-E2DC68D43D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Arkusz1!$H$11:$H$15</c:f>
              <c:strCache>
                <c:ptCount val="5"/>
                <c:pt idx="0">
                  <c:v>Restauracje i inne stałe placówki gastronomiczne</c:v>
                </c:pt>
                <c:pt idx="1">
                  <c:v>Ruchome placówki gastronomiczne</c:v>
                </c:pt>
                <c:pt idx="2">
                  <c:v>Katering</c:v>
                </c:pt>
                <c:pt idx="3">
                  <c:v>Pozostała usługowa działalność gastronomiczna</c:v>
                </c:pt>
                <c:pt idx="4">
                  <c:v>Przygotowywanie i podawanie napojów</c:v>
                </c:pt>
              </c:strCache>
            </c:strRef>
          </c:cat>
          <c:val>
            <c:numRef>
              <c:f>Arkusz1!$I$11:$I$15</c:f>
              <c:numCache>
                <c:formatCode>0.0%</c:formatCode>
                <c:ptCount val="5"/>
                <c:pt idx="0">
                  <c:v>6.2653228003268863E-2</c:v>
                </c:pt>
                <c:pt idx="1">
                  <c:v>2.2988505747126436E-2</c:v>
                </c:pt>
                <c:pt idx="2">
                  <c:v>6.6115702479338845E-2</c:v>
                </c:pt>
                <c:pt idx="3">
                  <c:v>5.8333333333333334E-2</c:v>
                </c:pt>
                <c:pt idx="4">
                  <c:v>4.5045045045045043E-2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1D-41DB-9DCC-64AF4F055B23}"/>
            </c:ext>
          </c:extLst>
        </c:ser>
        <c:ser>
          <c:idx val="1"/>
          <c:order val="1"/>
          <c:tx>
            <c:strRef>
              <c:f>Arkusz1!$J$10</c:f>
              <c:strCache>
                <c:ptCount val="1"/>
                <c:pt idx="0">
                  <c:v>Dobra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Arkusz1!$H$11:$H$15</c:f>
              <c:strCache>
                <c:ptCount val="5"/>
                <c:pt idx="0">
                  <c:v>Restauracje i inne stałe placówki gastronomiczne</c:v>
                </c:pt>
                <c:pt idx="1">
                  <c:v>Ruchome placówki gastronomiczne</c:v>
                </c:pt>
                <c:pt idx="2">
                  <c:v>Katering</c:v>
                </c:pt>
                <c:pt idx="3">
                  <c:v>Pozostała usługowa działalność gastronomiczna</c:v>
                </c:pt>
                <c:pt idx="4">
                  <c:v>Przygotowywanie i podawanie napojów</c:v>
                </c:pt>
              </c:strCache>
            </c:strRef>
          </c:cat>
          <c:val>
            <c:numRef>
              <c:f>Arkusz1!$J$11:$J$15</c:f>
              <c:numCache>
                <c:formatCode>0.0%</c:formatCode>
                <c:ptCount val="5"/>
                <c:pt idx="0">
                  <c:v>0.2658676110051757</c:v>
                </c:pt>
                <c:pt idx="1">
                  <c:v>0.26436781609195403</c:v>
                </c:pt>
                <c:pt idx="2">
                  <c:v>0.33333333333333331</c:v>
                </c:pt>
                <c:pt idx="3">
                  <c:v>0.21666666666666667</c:v>
                </c:pt>
                <c:pt idx="4">
                  <c:v>0.25225225225225223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1D-41DB-9DCC-64AF4F055B23}"/>
            </c:ext>
          </c:extLst>
        </c:ser>
        <c:ser>
          <c:idx val="2"/>
          <c:order val="2"/>
          <c:tx>
            <c:strRef>
              <c:f>Arkusz1!$L$10</c:f>
              <c:strCache>
                <c:ptCount val="1"/>
                <c:pt idx="0">
                  <c:v>Raczej Słaba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Arkusz1!$H$11:$H$15</c:f>
              <c:strCache>
                <c:ptCount val="5"/>
                <c:pt idx="0">
                  <c:v>Restauracje i inne stałe placówki gastronomiczne</c:v>
                </c:pt>
                <c:pt idx="1">
                  <c:v>Ruchome placówki gastronomiczne</c:v>
                </c:pt>
                <c:pt idx="2">
                  <c:v>Katering</c:v>
                </c:pt>
                <c:pt idx="3">
                  <c:v>Pozostała usługowa działalność gastronomiczna</c:v>
                </c:pt>
                <c:pt idx="4">
                  <c:v>Przygotowywanie i podawanie napojów</c:v>
                </c:pt>
              </c:strCache>
            </c:strRef>
          </c:cat>
          <c:val>
            <c:numRef>
              <c:f>Arkusz1!$L$11:$L$15</c:f>
              <c:numCache>
                <c:formatCode>0.0%</c:formatCode>
                <c:ptCount val="5"/>
                <c:pt idx="0">
                  <c:v>0.3189866521383819</c:v>
                </c:pt>
                <c:pt idx="1">
                  <c:v>0.37931034482758619</c:v>
                </c:pt>
                <c:pt idx="2">
                  <c:v>0.33057851239669422</c:v>
                </c:pt>
                <c:pt idx="3">
                  <c:v>0.34166666666666667</c:v>
                </c:pt>
                <c:pt idx="4">
                  <c:v>0.35585585585585583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1D-41DB-9DCC-64AF4F055B23}"/>
            </c:ext>
          </c:extLst>
        </c:ser>
        <c:ser>
          <c:idx val="3"/>
          <c:order val="3"/>
          <c:tx>
            <c:strRef>
              <c:f>Arkusz1!$M$10</c:f>
              <c:strCache>
                <c:ptCount val="1"/>
                <c:pt idx="0">
                  <c:v>Zła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Arkusz1!$H$11:$H$15</c:f>
              <c:strCache>
                <c:ptCount val="5"/>
                <c:pt idx="0">
                  <c:v>Restauracje i inne stałe placówki gastronomiczne</c:v>
                </c:pt>
                <c:pt idx="1">
                  <c:v>Ruchome placówki gastronomiczne</c:v>
                </c:pt>
                <c:pt idx="2">
                  <c:v>Katering</c:v>
                </c:pt>
                <c:pt idx="3">
                  <c:v>Pozostała usługowa działalność gastronomiczna</c:v>
                </c:pt>
                <c:pt idx="4">
                  <c:v>Przygotowywanie i podawanie napojów</c:v>
                </c:pt>
              </c:strCache>
            </c:strRef>
          </c:cat>
          <c:val>
            <c:numRef>
              <c:f>Arkusz1!$M$11:$M$15</c:f>
              <c:numCache>
                <c:formatCode>0.0%</c:formatCode>
                <c:ptCount val="5"/>
                <c:pt idx="0">
                  <c:v>0.35249250885317351</c:v>
                </c:pt>
                <c:pt idx="1">
                  <c:v>0.33333333333333331</c:v>
                </c:pt>
                <c:pt idx="2">
                  <c:v>0.26997245179063362</c:v>
                </c:pt>
                <c:pt idx="3">
                  <c:v>0.38333333333333336</c:v>
                </c:pt>
                <c:pt idx="4">
                  <c:v>0.34684684684684686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1D-41DB-9DCC-64AF4F055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472721560"/>
        <c:axId val="472721168"/>
      </c:barChart>
      <c:catAx>
        <c:axId val="472721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2721168"/>
        <c:crosses val="autoZero"/>
        <c:auto val="1"/>
        <c:lblAlgn val="ctr"/>
        <c:lblOffset val="100"/>
        <c:noMultiLvlLbl val="0"/>
      </c:catAx>
      <c:valAx>
        <c:axId val="472721168"/>
        <c:scaling>
          <c:orientation val="minMax"/>
          <c:max val="1"/>
        </c:scaling>
        <c:delete val="1"/>
        <c:axPos val="b"/>
        <c:numFmt formatCode="0.0%" sourceLinked="1"/>
        <c:majorTickMark val="none"/>
        <c:minorTickMark val="none"/>
        <c:tickLblPos val="nextTo"/>
        <c:crossAx val="472721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127053562749099"/>
          <c:y val="0.92533070866141731"/>
          <c:w val="0.31745875515560557"/>
          <c:h val="6.26692913385826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D1571EBD-9A76-4526-9B67-90CA746A94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B4129F-A89C-4680-9650-9B5F098AECF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1089</Words>
  <Characters>7505</Characters>
  <Application>Microsoft Office Word</Application>
  <DocSecurity>0</DocSecurity>
  <Lines>113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BIK S.A.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Kochalska Halina</dc:creator>
  <cp:keywords/>
  <dc:description/>
  <cp:lastModifiedBy>Jan Bratkowski</cp:lastModifiedBy>
  <cp:revision>22</cp:revision>
  <dcterms:created xsi:type="dcterms:W3CDTF">2021-04-08T12:10:00Z</dcterms:created>
  <dcterms:modified xsi:type="dcterms:W3CDTF">2021-04-08T17:51:00Z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da8b7afc-0e9a-402f-a395-57f1130d381b</vt:lpwstr>
  </property>
  <property fmtid="{D5CDD505-2E9C-101B-9397-08002B2CF9AE}" pid="3" name="bjSaver">
    <vt:lpwstr>6ntNSksSHiginG8KZDJKRJ7O3fVY3zq8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Jawne</vt:lpwstr>
  </property>
  <property fmtid="{D5CDD505-2E9C-101B-9397-08002B2CF9AE}" pid="7" name="MSIP_Label_1391a466-f120-4668-a5e5-7af4d8a99d82_Enabled">
    <vt:lpwstr>true</vt:lpwstr>
  </property>
  <property fmtid="{D5CDD505-2E9C-101B-9397-08002B2CF9AE}" pid="8" name="MSIP_Label_1391a466-f120-4668-a5e5-7af4d8a99d82_SetDate">
    <vt:lpwstr>2021-04-08T11:59:31Z</vt:lpwstr>
  </property>
  <property fmtid="{D5CDD505-2E9C-101B-9397-08002B2CF9AE}" pid="9" name="MSIP_Label_1391a466-f120-4668-a5e5-7af4d8a99d82_Method">
    <vt:lpwstr>Privileged</vt:lpwstr>
  </property>
  <property fmtid="{D5CDD505-2E9C-101B-9397-08002B2CF9AE}" pid="10" name="MSIP_Label_1391a466-f120-4668-a5e5-7af4d8a99d82_Name">
    <vt:lpwstr>Grupa BIK-Jawne</vt:lpwstr>
  </property>
  <property fmtid="{D5CDD505-2E9C-101B-9397-08002B2CF9AE}" pid="11" name="MSIP_Label_1391a466-f120-4668-a5e5-7af4d8a99d82_SiteId">
    <vt:lpwstr>f2871815-01ea-45c0-a64b-82e189df602c</vt:lpwstr>
  </property>
  <property fmtid="{D5CDD505-2E9C-101B-9397-08002B2CF9AE}" pid="12" name="MSIP_Label_1391a466-f120-4668-a5e5-7af4d8a99d82_ActionId">
    <vt:lpwstr>3838cc09-76ba-4943-9188-b6139e572333</vt:lpwstr>
  </property>
  <property fmtid="{D5CDD505-2E9C-101B-9397-08002B2CF9AE}" pid="13" name="MSIP_Label_1391a466-f120-4668-a5e5-7af4d8a99d82_ContentBits">
    <vt:lpwstr>1</vt:lpwstr>
  </property>
</Properties>
</file>