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8775"/>
        <w:tblGridChange w:id="0">
          <w:tblGrid>
            <w:gridCol w:w="585"/>
            <w:gridCol w:w="8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From the left, YBhg Dato Sri Haji Wan Lizozman Wan Omar (State Financial Secretary), YB Dato Dennis Ngau (Chairman of Sarawak Tourism Board), YB Dato Sri Haji Abdul Karim Rahman Hamzah (Minister of Tourism, Creative Industry and Performing Arts Sarawak), Che Puan Besar Kalsom Abdullah, and Datu Sherrina Binti Hussaini (Permanent Secretary of Ministry of Tourism, Creative Industry and Performing Arts Sarawak) at "The Serumpun Salon: Conversations in the Rainforest." The session explored how Sarawak’s Indigenous wisdom aligns with global ESG (Environmental, Social, Governance) frameworks, highlighting community-based practices as models for regenerative tourism.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A curated showcase of Sarawak’s inspiring indigenous artisans and social enterprises, highlighting craftsmanship and storytelling as vehicles for cultural preservation. Featured participants include representatives from The Tuyang Initiative, CHASS, Earthlings Coffee, Dayak Lore, Penang Basket, Awing, Bera Adam Ba’kelalan, and Savo.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commemorative group photo following the closing dinner of the Serumpun Sarawak, celebrating a successful event dedicated to cultural preservation and sustainable tourism.</w:t>
            </w:r>
          </w:p>
        </w:tc>
      </w:tr>
    </w:tbl>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