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542506F3" w:rsidR="00BF4FB8" w:rsidRDefault="00627734" w:rsidP="008A39FF">
      <w:pPr>
        <w:jc w:val="both"/>
        <w:rPr>
          <w:rFonts w:ascii="Lato" w:eastAsia="Times New Roman" w:hAnsi="Lato" w:cstheme="minorHAnsi"/>
          <w:b/>
          <w:bCs/>
          <w:color w:val="31849B" w:themeColor="accent5" w:themeShade="BF"/>
          <w:sz w:val="20"/>
          <w:szCs w:val="20"/>
          <w:lang w:eastAsia="pl-PL"/>
        </w:rPr>
      </w:pPr>
      <w:r w:rsidRPr="00627734">
        <w:rPr>
          <w:rFonts w:ascii="Lato" w:eastAsia="Times New Roman" w:hAnsi="Lato" w:cstheme="minorHAnsi"/>
          <w:b/>
          <w:bCs/>
          <w:color w:val="31849B" w:themeColor="accent5" w:themeShade="BF"/>
          <w:sz w:val="20"/>
          <w:szCs w:val="20"/>
          <w:lang w:eastAsia="pl-PL"/>
        </w:rPr>
        <w:t>Karolina Grotowska</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004008ED" w:rsidRPr="004008ED">
        <w:rPr>
          <w:rFonts w:ascii="Lato" w:eastAsia="Times New Roman" w:hAnsi="Lato" w:cstheme="minorHAnsi"/>
          <w:b/>
          <w:bCs/>
          <w:color w:val="31849B" w:themeColor="accent5" w:themeShade="BF"/>
          <w:sz w:val="20"/>
          <w:szCs w:val="20"/>
          <w:lang w:eastAsia="pl-PL"/>
        </w:rPr>
        <w:t>Starsza Analityczka</w:t>
      </w:r>
    </w:p>
    <w:p w14:paraId="6E512D6C" w14:textId="64EF8D2A" w:rsidR="004008ED" w:rsidRPr="004008ED" w:rsidRDefault="004008ED" w:rsidP="004008ED">
      <w:pPr>
        <w:pBdr>
          <w:bottom w:val="single" w:sz="6" w:space="1" w:color="auto"/>
        </w:pBdr>
        <w:jc w:val="both"/>
        <w:rPr>
          <w:rFonts w:ascii="Lato" w:hAnsi="Lato"/>
          <w:sz w:val="20"/>
          <w:szCs w:val="20"/>
        </w:rPr>
      </w:pPr>
      <w:r w:rsidRPr="004008ED">
        <w:rPr>
          <w:rFonts w:ascii="Lato" w:hAnsi="Lato"/>
          <w:sz w:val="20"/>
          <w:szCs w:val="20"/>
        </w:rPr>
        <w:t xml:space="preserve">Karolina Grotowska jest starszą analityczką w Programie Europejskim Forum Energii. Zajmuje się przede wszystkim tematami związanymi z finansowaniem transformacji energetycznej oraz budżetem Unii Europejskiej, w tym instrumentami unijnymi, architekturą wieloletnich ram finansowych oraz rolą polityk publicznych w mobilizowaniu inwestycji na rzecz dekarbonizacji. W swojej pracy analizuje przepływy finansowe, bariery inwestycyjne oraz projektuje rekomendacje dotyczące lepszego dopasowania publicznych narzędzi finansowych do celów transformacji energetycznej. </w:t>
      </w:r>
    </w:p>
    <w:p w14:paraId="224E282F" w14:textId="3B486FA3" w:rsidR="00627734" w:rsidRDefault="004008ED" w:rsidP="004008ED">
      <w:pPr>
        <w:pBdr>
          <w:bottom w:val="single" w:sz="6" w:space="1" w:color="auto"/>
        </w:pBdr>
        <w:jc w:val="both"/>
        <w:rPr>
          <w:rFonts w:ascii="Lato" w:hAnsi="Lato"/>
          <w:sz w:val="20"/>
          <w:szCs w:val="20"/>
        </w:rPr>
      </w:pPr>
      <w:r w:rsidRPr="004008ED">
        <w:rPr>
          <w:rFonts w:ascii="Lato" w:hAnsi="Lato"/>
          <w:sz w:val="20"/>
          <w:szCs w:val="20"/>
        </w:rPr>
        <w:t xml:space="preserve">Karierę zawodową rozpoczęła jako analityczka ds. zrównoważonych finansów w międzynarodowym podmiocie zarządzającym aktywami, pracując nad integracją ESG w procesach inwestycyjnych oraz oceną zgodności portfeli z celami net zero. Następnie była związana z zespołem badawczym Zero Carbon Analytics, gdzie zajmowała się analizą finansowania transformacji energetycznej na poziomie UE oraz globalną architekturą finansowania klimatycznego.  </w:t>
      </w:r>
    </w:p>
    <w:p w14:paraId="19D3B2AD" w14:textId="77777777" w:rsidR="004008ED" w:rsidRPr="006B1023" w:rsidRDefault="004008ED" w:rsidP="004008ED">
      <w:pPr>
        <w:pBdr>
          <w:bottom w:val="single" w:sz="6" w:space="1" w:color="auto"/>
        </w:pBdr>
        <w:jc w:val="both"/>
        <w:rPr>
          <w:rFonts w:ascii="Lato" w:hAnsi="Lato"/>
          <w:sz w:val="20"/>
          <w:szCs w:val="20"/>
        </w:rPr>
      </w:pPr>
    </w:p>
    <w:p w14:paraId="00852F6A" w14:textId="5CB374C0" w:rsidR="00C04F55" w:rsidRPr="00D46084" w:rsidRDefault="00D46084" w:rsidP="00C04F55">
      <w:pPr>
        <w:jc w:val="both"/>
        <w:rPr>
          <w:rFonts w:ascii="Lato" w:eastAsia="Times New Roman" w:hAnsi="Lato" w:cstheme="minorHAnsi"/>
          <w:b/>
          <w:bCs/>
          <w:color w:val="31849B" w:themeColor="accent5" w:themeShade="BF"/>
          <w:sz w:val="20"/>
          <w:szCs w:val="20"/>
          <w:lang w:val="en-GB" w:eastAsia="pl-PL"/>
        </w:rPr>
      </w:pPr>
      <w:r w:rsidRPr="00D46084">
        <w:rPr>
          <w:rFonts w:ascii="Lato" w:eastAsia="Times New Roman" w:hAnsi="Lato" w:cstheme="minorHAnsi"/>
          <w:b/>
          <w:bCs/>
          <w:color w:val="31849B" w:themeColor="accent5" w:themeShade="BF"/>
          <w:sz w:val="20"/>
          <w:szCs w:val="20"/>
          <w:lang w:val="en-GB" w:eastAsia="pl-PL"/>
        </w:rPr>
        <w:t xml:space="preserve">Karolina Grotowska </w:t>
      </w:r>
      <w:r w:rsidR="00C04F55" w:rsidRPr="00D46084">
        <w:rPr>
          <w:rFonts w:ascii="Lato" w:eastAsia="Times New Roman" w:hAnsi="Lato" w:cstheme="minorHAnsi"/>
          <w:b/>
          <w:bCs/>
          <w:color w:val="31849B" w:themeColor="accent5" w:themeShade="BF"/>
          <w:sz w:val="20"/>
          <w:szCs w:val="20"/>
          <w:lang w:val="en-GB" w:eastAsia="pl-PL"/>
        </w:rPr>
        <w:t xml:space="preserve">– </w:t>
      </w:r>
      <w:r w:rsidR="004008ED">
        <w:rPr>
          <w:rFonts w:ascii="Lato" w:eastAsia="Times New Roman" w:hAnsi="Lato" w:cstheme="minorHAnsi"/>
          <w:b/>
          <w:bCs/>
          <w:color w:val="31849B" w:themeColor="accent5" w:themeShade="BF"/>
          <w:sz w:val="20"/>
          <w:szCs w:val="20"/>
          <w:lang w:val="en-GB" w:eastAsia="pl-PL"/>
        </w:rPr>
        <w:t>Senior Analyst</w:t>
      </w:r>
    </w:p>
    <w:p w14:paraId="530EB1D2" w14:textId="2E2E53E9" w:rsidR="004008ED" w:rsidRPr="004008ED" w:rsidRDefault="004008ED" w:rsidP="004008ED">
      <w:pPr>
        <w:jc w:val="both"/>
        <w:rPr>
          <w:rFonts w:ascii="Lato" w:hAnsi="Lato"/>
          <w:sz w:val="20"/>
          <w:szCs w:val="20"/>
          <w:lang w:val="en-GB"/>
        </w:rPr>
      </w:pPr>
      <w:r w:rsidRPr="004008ED">
        <w:rPr>
          <w:rFonts w:ascii="Lato" w:hAnsi="Lato"/>
          <w:sz w:val="20"/>
          <w:szCs w:val="20"/>
          <w:lang w:val="en-GB"/>
        </w:rPr>
        <w:t xml:space="preserve">Karolina Grotowska is a Senior Analyst in the European Programme at Forum Energii. Her work focuses on energy transition financing and the EU budget, including EU financial instruments, the architecture of the Multiannual Financial Framework, and the role of public policy in mobilising investment for decarbonisation. She analyses financial flows and investment barriers and develops policy recommendations to better align public financial tools with the objectives of the energy transition. </w:t>
      </w:r>
    </w:p>
    <w:p w14:paraId="472AA886" w14:textId="75C8A9FD" w:rsidR="00D84996" w:rsidRPr="00C04F55" w:rsidRDefault="004008ED" w:rsidP="004008ED">
      <w:pPr>
        <w:jc w:val="both"/>
        <w:rPr>
          <w:rFonts w:ascii="Lato" w:hAnsi="Lato"/>
          <w:sz w:val="20"/>
          <w:szCs w:val="20"/>
          <w:lang w:val="en-GB"/>
        </w:rPr>
      </w:pPr>
      <w:r w:rsidRPr="004008ED">
        <w:rPr>
          <w:rFonts w:ascii="Lato" w:hAnsi="Lato"/>
          <w:sz w:val="20"/>
          <w:szCs w:val="20"/>
          <w:lang w:val="en-GB"/>
        </w:rPr>
        <w:t>She began her career as a sustainable finance analyst at an international asset management firm, working on the integration of ESG factors into investment processes and assessing portfolio alignment with net-zero objectives. She later joined the research team at Zero Carbon Analytics, where she focused on the analysis of energy transition financing at the EU level, as well as the global architecture of climate finance.</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ABEE" w14:textId="77777777" w:rsidR="008558C1" w:rsidRDefault="008558C1" w:rsidP="00690BAA">
      <w:pPr>
        <w:spacing w:after="0" w:line="240" w:lineRule="auto"/>
      </w:pPr>
      <w:r>
        <w:separator/>
      </w:r>
    </w:p>
  </w:endnote>
  <w:endnote w:type="continuationSeparator" w:id="0">
    <w:p w14:paraId="17AE843F" w14:textId="77777777" w:rsidR="008558C1" w:rsidRDefault="008558C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F462" w14:textId="77777777" w:rsidR="008558C1" w:rsidRDefault="008558C1" w:rsidP="00690BAA">
      <w:pPr>
        <w:spacing w:after="0" w:line="240" w:lineRule="auto"/>
      </w:pPr>
      <w:r>
        <w:separator/>
      </w:r>
    </w:p>
  </w:footnote>
  <w:footnote w:type="continuationSeparator" w:id="0">
    <w:p w14:paraId="342EC094" w14:textId="77777777" w:rsidR="008558C1" w:rsidRDefault="008558C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008ED"/>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558C1"/>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12EF53D8-87E1-4109-813F-0C7E53545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285</Words>
  <Characters>1711</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25</cp:revision>
  <cp:lastPrinted>2024-11-22T11:05:00Z</cp:lastPrinted>
  <dcterms:created xsi:type="dcterms:W3CDTF">2025-11-17T13:25:00Z</dcterms:created>
  <dcterms:modified xsi:type="dcterms:W3CDTF">2026-03-18T13:35:00Z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