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B785" w14:textId="1D9F64F9" w:rsidR="00E424D6" w:rsidRDefault="002E7F0E" w:rsidP="00704C8C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048FA479" wp14:editId="15A56C22">
            <wp:extent cx="2227514" cy="927322"/>
            <wp:effectExtent l="0" t="0" r="1905" b="6350"/>
            <wp:docPr id="871826189" name="Immagine 871826189" descr="Immagine che contiene nero, oscurità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O BARDELLI_Nero ORIZZONTA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263" cy="9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5355" w14:textId="77777777" w:rsidR="002E7F0E" w:rsidRDefault="002E7F0E" w:rsidP="00704C8C">
      <w:pPr>
        <w:spacing w:after="0"/>
        <w:jc w:val="center"/>
        <w:rPr>
          <w:b/>
          <w:bCs/>
          <w:sz w:val="28"/>
          <w:szCs w:val="28"/>
        </w:rPr>
      </w:pPr>
    </w:p>
    <w:p w14:paraId="0873601E" w14:textId="14203DF3" w:rsidR="00E424D6" w:rsidRPr="00833C7C" w:rsidRDefault="005B3EE8" w:rsidP="005B3EE8">
      <w:pPr>
        <w:spacing w:after="0"/>
        <w:jc w:val="center"/>
        <w:rPr>
          <w:b/>
          <w:sz w:val="28"/>
          <w:szCs w:val="28"/>
          <w:lang w:val="en-GB"/>
        </w:rPr>
      </w:pPr>
      <w:r w:rsidRPr="00833C7C">
        <w:rPr>
          <w:b/>
          <w:sz w:val="28"/>
          <w:szCs w:val="28"/>
          <w:lang w:val="en-GB"/>
        </w:rPr>
        <w:t>APPIANI PRESENT</w:t>
      </w:r>
      <w:r w:rsidR="00833C7C" w:rsidRPr="00833C7C">
        <w:rPr>
          <w:b/>
          <w:sz w:val="28"/>
          <w:szCs w:val="28"/>
          <w:lang w:val="en-GB"/>
        </w:rPr>
        <w:t>S</w:t>
      </w:r>
      <w:r w:rsidRPr="00833C7C">
        <w:rPr>
          <w:b/>
          <w:sz w:val="28"/>
          <w:szCs w:val="28"/>
          <w:lang w:val="en-GB"/>
        </w:rPr>
        <w:t xml:space="preserve"> CORIANDOLI</w:t>
      </w:r>
    </w:p>
    <w:p w14:paraId="31B958A3" w14:textId="77777777" w:rsidR="005B3EE8" w:rsidRPr="00833C7C" w:rsidRDefault="005B3EE8" w:rsidP="005B3EE8">
      <w:pPr>
        <w:spacing w:after="0"/>
        <w:rPr>
          <w:lang w:val="en-GB"/>
        </w:rPr>
      </w:pPr>
    </w:p>
    <w:p w14:paraId="05CC0469" w14:textId="14D5D7B5" w:rsidR="00833C7C" w:rsidRPr="00833C7C" w:rsidRDefault="00833C7C" w:rsidP="005B3EE8">
      <w:pPr>
        <w:spacing w:after="0"/>
        <w:jc w:val="both"/>
        <w:rPr>
          <w:sz w:val="24"/>
          <w:szCs w:val="24"/>
          <w:lang w:val="en-GB"/>
        </w:rPr>
      </w:pPr>
      <w:r w:rsidRPr="00833C7C">
        <w:rPr>
          <w:sz w:val="24"/>
          <w:szCs w:val="24"/>
          <w:lang w:val="en-GB"/>
        </w:rPr>
        <w:t>The ultra-thin full-body porcelain stoneware mosaic with high-pigmentation fluorescent glazes</w:t>
      </w:r>
      <w:r>
        <w:rPr>
          <w:sz w:val="24"/>
          <w:szCs w:val="24"/>
          <w:lang w:val="en-GB"/>
        </w:rPr>
        <w:t>.</w:t>
      </w:r>
    </w:p>
    <w:p w14:paraId="55413A7E" w14:textId="77777777" w:rsidR="00833C7C" w:rsidRPr="00833C7C" w:rsidRDefault="00833C7C" w:rsidP="005B3EE8">
      <w:pPr>
        <w:spacing w:after="0"/>
        <w:jc w:val="both"/>
        <w:rPr>
          <w:sz w:val="24"/>
          <w:szCs w:val="24"/>
          <w:lang w:val="en-GB"/>
        </w:rPr>
      </w:pPr>
    </w:p>
    <w:p w14:paraId="2759584D" w14:textId="5ACFE426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  <w:proofErr w:type="spellStart"/>
      <w:r w:rsidRPr="00833C7C">
        <w:rPr>
          <w:b/>
          <w:bCs/>
          <w:sz w:val="24"/>
          <w:szCs w:val="24"/>
          <w:lang w:val="en-GB"/>
        </w:rPr>
        <w:t>Appiani</w:t>
      </w:r>
      <w:proofErr w:type="spellEnd"/>
      <w:r w:rsidRPr="00833C7C">
        <w:rPr>
          <w:sz w:val="24"/>
          <w:szCs w:val="24"/>
          <w:lang w:val="en-GB"/>
        </w:rPr>
        <w:t xml:space="preserve">, the historic brand of Gruppo Bardelli specializing in high-quality ceramic mosaics, presents </w:t>
      </w:r>
      <w:proofErr w:type="spellStart"/>
      <w:r w:rsidRPr="00833C7C">
        <w:rPr>
          <w:b/>
          <w:bCs/>
          <w:sz w:val="24"/>
          <w:szCs w:val="24"/>
          <w:lang w:val="en-GB"/>
        </w:rPr>
        <w:t>Coriandoli</w:t>
      </w:r>
      <w:proofErr w:type="spellEnd"/>
      <w:r>
        <w:rPr>
          <w:sz w:val="24"/>
          <w:szCs w:val="24"/>
          <w:lang w:val="en-GB"/>
        </w:rPr>
        <w:t xml:space="preserve">, </w:t>
      </w:r>
      <w:r w:rsidRPr="00833C7C">
        <w:rPr>
          <w:sz w:val="24"/>
          <w:szCs w:val="24"/>
          <w:lang w:val="en-GB"/>
        </w:rPr>
        <w:t xml:space="preserve">an innovative collection that redefines the rules of decorative mosaic through a unique blend of technology, </w:t>
      </w:r>
      <w:proofErr w:type="spellStart"/>
      <w:r w:rsidRPr="00833C7C">
        <w:rPr>
          <w:sz w:val="24"/>
          <w:szCs w:val="24"/>
          <w:lang w:val="en-GB"/>
        </w:rPr>
        <w:t>color</w:t>
      </w:r>
      <w:proofErr w:type="spellEnd"/>
      <w:r w:rsidRPr="00833C7C">
        <w:rPr>
          <w:sz w:val="24"/>
          <w:szCs w:val="24"/>
          <w:lang w:val="en-GB"/>
        </w:rPr>
        <w:t>, and sustainability.</w:t>
      </w:r>
    </w:p>
    <w:p w14:paraId="299D5781" w14:textId="77777777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1432C3AC" w14:textId="571BDFCB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  <w:r w:rsidRPr="00833C7C">
        <w:rPr>
          <w:sz w:val="24"/>
          <w:szCs w:val="24"/>
          <w:lang w:val="en-GB"/>
        </w:rPr>
        <w:t xml:space="preserve">The collection stands out for its </w:t>
      </w:r>
      <w:r w:rsidRPr="00833C7C">
        <w:rPr>
          <w:b/>
          <w:bCs/>
          <w:sz w:val="24"/>
          <w:szCs w:val="24"/>
          <w:lang w:val="en-GB"/>
        </w:rPr>
        <w:t>hexagonal 2.5x2.8 cm format</w:t>
      </w:r>
      <w:r w:rsidRPr="00833C7C">
        <w:rPr>
          <w:sz w:val="24"/>
          <w:szCs w:val="24"/>
          <w:lang w:val="en-GB"/>
        </w:rPr>
        <w:t xml:space="preserve">, inspired by the proportions of the iconic </w:t>
      </w:r>
      <w:r w:rsidRPr="00833C7C">
        <w:rPr>
          <w:i/>
          <w:iCs/>
          <w:sz w:val="24"/>
          <w:szCs w:val="24"/>
          <w:lang w:val="en-GB"/>
        </w:rPr>
        <w:t>Eden</w:t>
      </w:r>
      <w:r w:rsidRPr="00833C7C">
        <w:rPr>
          <w:sz w:val="24"/>
          <w:szCs w:val="24"/>
          <w:lang w:val="en-GB"/>
        </w:rPr>
        <w:t xml:space="preserve"> collection, and </w:t>
      </w:r>
      <w:r w:rsidRPr="00833C7C">
        <w:rPr>
          <w:b/>
          <w:bCs/>
          <w:sz w:val="24"/>
          <w:szCs w:val="24"/>
          <w:lang w:val="en-GB"/>
        </w:rPr>
        <w:t>its 1.2x3.7 cm rectangular format</w:t>
      </w:r>
      <w:r>
        <w:rPr>
          <w:sz w:val="24"/>
          <w:szCs w:val="24"/>
          <w:lang w:val="en-GB"/>
        </w:rPr>
        <w:t xml:space="preserve">, </w:t>
      </w:r>
      <w:r w:rsidRPr="00833C7C">
        <w:rPr>
          <w:sz w:val="24"/>
          <w:szCs w:val="24"/>
          <w:lang w:val="en-GB"/>
        </w:rPr>
        <w:t xml:space="preserve">both available in an ultra-thin thickness of just 4 or 4.5 mm. This makes </w:t>
      </w:r>
      <w:proofErr w:type="spellStart"/>
      <w:r w:rsidRPr="00833C7C">
        <w:rPr>
          <w:sz w:val="24"/>
          <w:szCs w:val="24"/>
          <w:lang w:val="en-GB"/>
        </w:rPr>
        <w:t>Coriandoli</w:t>
      </w:r>
      <w:proofErr w:type="spellEnd"/>
      <w:r w:rsidRPr="00833C7C">
        <w:rPr>
          <w:sz w:val="24"/>
          <w:szCs w:val="24"/>
          <w:lang w:val="en-GB"/>
        </w:rPr>
        <w:t xml:space="preserve"> significantly thinner, lighter, and more versatile than traditional mosaics, offering a clear advantage in terms of logistics and efficiency: with the same weight, more surface area is covered, and the environmental impact of packaging is reduced.</w:t>
      </w:r>
    </w:p>
    <w:p w14:paraId="7A896A78" w14:textId="77777777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04F2F82E" w14:textId="4E67D7F4" w:rsidR="005B3EE8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  <w:r w:rsidRPr="00833C7C">
        <w:rPr>
          <w:sz w:val="24"/>
          <w:szCs w:val="24"/>
          <w:lang w:val="en-GB"/>
        </w:rPr>
        <w:t>Mounted on 30x30 cm (12"x12") mesh sheets, the collection is ideal for floors and walls</w:t>
      </w:r>
      <w:r>
        <w:rPr>
          <w:sz w:val="24"/>
          <w:szCs w:val="24"/>
          <w:lang w:val="en-GB"/>
        </w:rPr>
        <w:t xml:space="preserve">, </w:t>
      </w:r>
      <w:r w:rsidRPr="00833C7C">
        <w:rPr>
          <w:sz w:val="24"/>
          <w:szCs w:val="24"/>
          <w:lang w:val="en-GB"/>
        </w:rPr>
        <w:t>even in high-traffic areas thanks to its excellent technical performance.</w:t>
      </w:r>
    </w:p>
    <w:p w14:paraId="67E2FD40" w14:textId="77777777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50203DD1" w14:textId="0F1361B7" w:rsidR="00833C7C" w:rsidRPr="006E18FE" w:rsidRDefault="006E18FE" w:rsidP="00833C7C">
      <w:pPr>
        <w:spacing w:after="0"/>
        <w:jc w:val="both"/>
        <w:rPr>
          <w:sz w:val="24"/>
          <w:szCs w:val="24"/>
          <w:lang w:val="en-GB"/>
        </w:rPr>
      </w:pPr>
      <w:proofErr w:type="spellStart"/>
      <w:r w:rsidRPr="006E18FE">
        <w:rPr>
          <w:b/>
          <w:bCs/>
          <w:sz w:val="24"/>
          <w:szCs w:val="24"/>
          <w:lang w:val="en-GB"/>
        </w:rPr>
        <w:t>Coriandoli</w:t>
      </w:r>
      <w:proofErr w:type="spellEnd"/>
      <w:r w:rsidRPr="006E18FE">
        <w:rPr>
          <w:sz w:val="24"/>
          <w:szCs w:val="24"/>
          <w:lang w:val="en-GB"/>
        </w:rPr>
        <w:t xml:space="preserve"> is made of </w:t>
      </w:r>
      <w:r w:rsidRPr="006E18FE">
        <w:rPr>
          <w:b/>
          <w:bCs/>
          <w:sz w:val="24"/>
          <w:szCs w:val="24"/>
          <w:lang w:val="en-GB"/>
        </w:rPr>
        <w:t>full-body porcelain stoneware</w:t>
      </w:r>
      <w:r w:rsidRPr="006E18FE">
        <w:rPr>
          <w:sz w:val="24"/>
          <w:szCs w:val="24"/>
          <w:lang w:val="en-GB"/>
        </w:rPr>
        <w:t xml:space="preserve"> </w:t>
      </w:r>
      <w:proofErr w:type="gramStart"/>
      <w:r w:rsidRPr="006E18FE">
        <w:rPr>
          <w:sz w:val="24"/>
          <w:szCs w:val="24"/>
          <w:lang w:val="en-GB"/>
        </w:rPr>
        <w:t>through the use of</w:t>
      </w:r>
      <w:proofErr w:type="gramEnd"/>
      <w:r w:rsidRPr="006E18FE">
        <w:rPr>
          <w:sz w:val="24"/>
          <w:szCs w:val="24"/>
          <w:lang w:val="en-GB"/>
        </w:rPr>
        <w:t xml:space="preserve"> </w:t>
      </w:r>
      <w:r w:rsidRPr="006E18FE">
        <w:rPr>
          <w:b/>
          <w:bCs/>
          <w:sz w:val="24"/>
          <w:szCs w:val="24"/>
          <w:lang w:val="en-GB"/>
        </w:rPr>
        <w:t xml:space="preserve">next-generation ceramic </w:t>
      </w:r>
      <w:proofErr w:type="spellStart"/>
      <w:r w:rsidRPr="006E18FE">
        <w:rPr>
          <w:b/>
          <w:bCs/>
          <w:sz w:val="24"/>
          <w:szCs w:val="24"/>
          <w:lang w:val="en-GB"/>
        </w:rPr>
        <w:t>molds</w:t>
      </w:r>
      <w:proofErr w:type="spellEnd"/>
      <w:r w:rsidRPr="006E18FE">
        <w:rPr>
          <w:sz w:val="24"/>
          <w:szCs w:val="24"/>
          <w:lang w:val="en-GB"/>
        </w:rPr>
        <w:t xml:space="preserve">, which allow for </w:t>
      </w:r>
      <w:r w:rsidRPr="006E18FE">
        <w:rPr>
          <w:b/>
          <w:bCs/>
          <w:sz w:val="24"/>
          <w:szCs w:val="24"/>
          <w:lang w:val="en-GB"/>
        </w:rPr>
        <w:t>sharp edges to be obtained directly during pressing</w:t>
      </w:r>
      <w:r w:rsidRPr="006E18FE">
        <w:rPr>
          <w:sz w:val="24"/>
          <w:szCs w:val="24"/>
          <w:lang w:val="en-GB"/>
        </w:rPr>
        <w:t xml:space="preserve">, without the need for post-firing grinding. This enables installation with a </w:t>
      </w:r>
      <w:r w:rsidRPr="006E18FE">
        <w:rPr>
          <w:b/>
          <w:bCs/>
          <w:sz w:val="24"/>
          <w:szCs w:val="24"/>
          <w:lang w:val="en-GB"/>
        </w:rPr>
        <w:t>standard 2 mm grout joint</w:t>
      </w:r>
      <w:r w:rsidRPr="006E18FE">
        <w:rPr>
          <w:sz w:val="24"/>
          <w:szCs w:val="24"/>
          <w:lang w:val="en-GB"/>
        </w:rPr>
        <w:t xml:space="preserve">, which </w:t>
      </w:r>
      <w:r w:rsidRPr="006E18FE">
        <w:rPr>
          <w:b/>
          <w:bCs/>
          <w:sz w:val="24"/>
          <w:szCs w:val="24"/>
          <w:lang w:val="en-GB"/>
        </w:rPr>
        <w:t>visually appears thinner</w:t>
      </w:r>
      <w:r w:rsidRPr="006E18FE">
        <w:rPr>
          <w:sz w:val="24"/>
          <w:szCs w:val="24"/>
          <w:lang w:val="en-GB"/>
        </w:rPr>
        <w:t xml:space="preserve">, enhancing the </w:t>
      </w:r>
      <w:r w:rsidRPr="006E18FE">
        <w:rPr>
          <w:b/>
          <w:bCs/>
          <w:sz w:val="24"/>
          <w:szCs w:val="24"/>
          <w:lang w:val="en-GB"/>
        </w:rPr>
        <w:t>aesthetic continuity</w:t>
      </w:r>
      <w:r w:rsidRPr="006E18FE">
        <w:rPr>
          <w:sz w:val="24"/>
          <w:szCs w:val="24"/>
          <w:lang w:val="en-GB"/>
        </w:rPr>
        <w:t xml:space="preserve"> of the surface. A </w:t>
      </w:r>
      <w:r w:rsidRPr="006E18FE">
        <w:rPr>
          <w:b/>
          <w:bCs/>
          <w:sz w:val="24"/>
          <w:szCs w:val="24"/>
          <w:lang w:val="en-GB"/>
        </w:rPr>
        <w:t>true evolution in ceramic mosaics</w:t>
      </w:r>
      <w:r w:rsidRPr="006E18FE">
        <w:rPr>
          <w:sz w:val="24"/>
          <w:szCs w:val="24"/>
          <w:lang w:val="en-GB"/>
        </w:rPr>
        <w:t>, where industrial precision and formal refinement come together.</w:t>
      </w:r>
    </w:p>
    <w:p w14:paraId="7FF064CC" w14:textId="77777777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676F0ED1" w14:textId="077E9158" w:rsid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  <w:r w:rsidRPr="00833C7C">
        <w:rPr>
          <w:sz w:val="24"/>
          <w:szCs w:val="24"/>
          <w:lang w:val="en-GB"/>
        </w:rPr>
        <w:t xml:space="preserve">The </w:t>
      </w:r>
      <w:proofErr w:type="spellStart"/>
      <w:r w:rsidRPr="00833C7C">
        <w:rPr>
          <w:sz w:val="24"/>
          <w:szCs w:val="24"/>
          <w:lang w:val="en-GB"/>
        </w:rPr>
        <w:t>color</w:t>
      </w:r>
      <w:proofErr w:type="spellEnd"/>
      <w:r w:rsidRPr="00833C7C">
        <w:rPr>
          <w:sz w:val="24"/>
          <w:szCs w:val="24"/>
          <w:lang w:val="en-GB"/>
        </w:rPr>
        <w:t xml:space="preserve"> palette features eight bold, vibrant hues with an ultra-pigmented matte finish, made possible by exclusive “</w:t>
      </w:r>
      <w:proofErr w:type="spellStart"/>
      <w:r w:rsidRPr="00833C7C">
        <w:rPr>
          <w:sz w:val="24"/>
          <w:szCs w:val="24"/>
          <w:lang w:val="en-GB"/>
        </w:rPr>
        <w:t>fluo</w:t>
      </w:r>
      <w:proofErr w:type="spellEnd"/>
      <w:r w:rsidRPr="00833C7C">
        <w:rPr>
          <w:sz w:val="24"/>
          <w:szCs w:val="24"/>
          <w:lang w:val="en-GB"/>
        </w:rPr>
        <w:t xml:space="preserve">” atomized glazes developed specifically for </w:t>
      </w:r>
      <w:proofErr w:type="spellStart"/>
      <w:r w:rsidRPr="00833C7C">
        <w:rPr>
          <w:sz w:val="24"/>
          <w:szCs w:val="24"/>
          <w:lang w:val="en-GB"/>
        </w:rPr>
        <w:t>Appiani</w:t>
      </w:r>
      <w:proofErr w:type="spellEnd"/>
      <w:r>
        <w:rPr>
          <w:sz w:val="24"/>
          <w:szCs w:val="24"/>
          <w:lang w:val="en-GB"/>
        </w:rPr>
        <w:t xml:space="preserve">, </w:t>
      </w:r>
      <w:r w:rsidRPr="00833C7C">
        <w:rPr>
          <w:sz w:val="24"/>
          <w:szCs w:val="24"/>
          <w:lang w:val="en-GB"/>
        </w:rPr>
        <w:t>a world first in the ceramic mosaic sector. These bright, contemporary tones bring energy, warmth, and strong character to interiors, making them stand out in both residential and contract spaces.</w:t>
      </w:r>
      <w:r>
        <w:rPr>
          <w:sz w:val="24"/>
          <w:szCs w:val="24"/>
          <w:lang w:val="en-GB"/>
        </w:rPr>
        <w:t xml:space="preserve"> </w:t>
      </w:r>
      <w:r w:rsidRPr="00833C7C">
        <w:rPr>
          <w:sz w:val="24"/>
          <w:szCs w:val="24"/>
          <w:lang w:val="en-GB"/>
        </w:rPr>
        <w:t>Alongside these vivid shades, the collection also includes four more neutral and sophisticated variations</w:t>
      </w:r>
      <w:r>
        <w:rPr>
          <w:sz w:val="24"/>
          <w:szCs w:val="24"/>
          <w:lang w:val="en-GB"/>
        </w:rPr>
        <w:t xml:space="preserve">, </w:t>
      </w:r>
      <w:r w:rsidRPr="00833C7C">
        <w:rPr>
          <w:sz w:val="24"/>
          <w:szCs w:val="24"/>
          <w:lang w:val="en-GB"/>
        </w:rPr>
        <w:t xml:space="preserve">ideal for projects where </w:t>
      </w:r>
      <w:proofErr w:type="spellStart"/>
      <w:r w:rsidRPr="00833C7C">
        <w:rPr>
          <w:sz w:val="24"/>
          <w:szCs w:val="24"/>
          <w:lang w:val="en-GB"/>
        </w:rPr>
        <w:t>color</w:t>
      </w:r>
      <w:proofErr w:type="spellEnd"/>
      <w:r w:rsidRPr="00833C7C">
        <w:rPr>
          <w:sz w:val="24"/>
          <w:szCs w:val="24"/>
          <w:lang w:val="en-GB"/>
        </w:rPr>
        <w:t xml:space="preserve"> plays a more subtle yet expressive role.</w:t>
      </w:r>
    </w:p>
    <w:p w14:paraId="4E7F73BF" w14:textId="77777777" w:rsid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38064BA0" w14:textId="7BF1C7A4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  <w:r w:rsidRPr="00833C7C">
        <w:rPr>
          <w:sz w:val="24"/>
          <w:szCs w:val="24"/>
          <w:lang w:val="en-GB"/>
        </w:rPr>
        <w:t xml:space="preserve">Completing the product’s performance is </w:t>
      </w:r>
      <w:r w:rsidRPr="00833C7C">
        <w:rPr>
          <w:b/>
          <w:bCs/>
          <w:sz w:val="24"/>
          <w:szCs w:val="24"/>
          <w:lang w:val="en-GB"/>
        </w:rPr>
        <w:t>Shield+ technology</w:t>
      </w:r>
      <w:r w:rsidRPr="00833C7C">
        <w:rPr>
          <w:sz w:val="24"/>
          <w:szCs w:val="24"/>
          <w:lang w:val="en-GB"/>
        </w:rPr>
        <w:t>, which offers stain resistance, enhanced durability, and easy maintenance</w:t>
      </w:r>
      <w:r>
        <w:rPr>
          <w:sz w:val="24"/>
          <w:szCs w:val="24"/>
          <w:lang w:val="en-GB"/>
        </w:rPr>
        <w:t xml:space="preserve">, </w:t>
      </w:r>
      <w:r w:rsidRPr="00833C7C">
        <w:rPr>
          <w:sz w:val="24"/>
          <w:szCs w:val="24"/>
          <w:lang w:val="en-GB"/>
        </w:rPr>
        <w:t>all without compromising on aesthetics or material richness.</w:t>
      </w:r>
    </w:p>
    <w:p w14:paraId="649013C9" w14:textId="77777777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2B959A65" w14:textId="0653FDFC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  <w:r w:rsidRPr="00833C7C">
        <w:rPr>
          <w:sz w:val="24"/>
          <w:szCs w:val="24"/>
          <w:lang w:val="en-GB"/>
        </w:rPr>
        <w:t xml:space="preserve">With </w:t>
      </w:r>
      <w:proofErr w:type="spellStart"/>
      <w:r w:rsidRPr="00833C7C">
        <w:rPr>
          <w:sz w:val="24"/>
          <w:szCs w:val="24"/>
          <w:lang w:val="en-GB"/>
        </w:rPr>
        <w:t>Coriandoli</w:t>
      </w:r>
      <w:proofErr w:type="spellEnd"/>
      <w:r w:rsidRPr="00833C7C">
        <w:rPr>
          <w:sz w:val="24"/>
          <w:szCs w:val="24"/>
          <w:lang w:val="en-GB"/>
        </w:rPr>
        <w:t xml:space="preserve">, </w:t>
      </w:r>
      <w:proofErr w:type="spellStart"/>
      <w:r w:rsidRPr="00833C7C">
        <w:rPr>
          <w:sz w:val="24"/>
          <w:szCs w:val="24"/>
          <w:lang w:val="en-GB"/>
        </w:rPr>
        <w:t>Appiani</w:t>
      </w:r>
      <w:proofErr w:type="spellEnd"/>
      <w:r w:rsidRPr="00833C7C">
        <w:rPr>
          <w:sz w:val="24"/>
          <w:szCs w:val="24"/>
          <w:lang w:val="en-GB"/>
        </w:rPr>
        <w:t xml:space="preserve"> reaffirms its pioneering role in ceramic innovation, presenting a mosaic that combines design, technical excellence, and a commitment to sustainability. It positions itself as a key reference point for designers seeking contemporary surfaces with high expressive potential.</w:t>
      </w:r>
    </w:p>
    <w:p w14:paraId="2A9867D4" w14:textId="77777777" w:rsidR="00833C7C" w:rsidRPr="00833C7C" w:rsidRDefault="00833C7C" w:rsidP="00833C7C">
      <w:pPr>
        <w:spacing w:after="0"/>
        <w:jc w:val="both"/>
        <w:rPr>
          <w:sz w:val="24"/>
          <w:szCs w:val="24"/>
          <w:lang w:val="en-GB"/>
        </w:rPr>
      </w:pPr>
    </w:p>
    <w:p w14:paraId="485FA63C" w14:textId="77777777" w:rsidR="005B3EE8" w:rsidRPr="006E18FE" w:rsidRDefault="005B3EE8" w:rsidP="005B3EE8">
      <w:pPr>
        <w:spacing w:after="0"/>
        <w:jc w:val="both"/>
        <w:rPr>
          <w:sz w:val="24"/>
          <w:szCs w:val="24"/>
          <w:lang w:val="en-GB"/>
        </w:rPr>
      </w:pPr>
    </w:p>
    <w:p w14:paraId="77F525DF" w14:textId="77777777" w:rsidR="00704C8C" w:rsidRPr="006E18FE" w:rsidRDefault="00704C8C" w:rsidP="005B3EE8">
      <w:pPr>
        <w:spacing w:after="0"/>
        <w:jc w:val="both"/>
        <w:rPr>
          <w:color w:val="0000FF"/>
          <w:sz w:val="24"/>
          <w:szCs w:val="24"/>
          <w:lang w:val="en-GB"/>
        </w:rPr>
      </w:pPr>
    </w:p>
    <w:p w14:paraId="294F56A0" w14:textId="77777777" w:rsidR="00833C7C" w:rsidRPr="006D6862" w:rsidRDefault="00833C7C" w:rsidP="00833C7C">
      <w:pPr>
        <w:spacing w:after="0" w:line="240" w:lineRule="auto"/>
        <w:jc w:val="right"/>
        <w:rPr>
          <w:bCs/>
          <w:sz w:val="24"/>
          <w:szCs w:val="24"/>
          <w:lang w:val="en-GB"/>
        </w:rPr>
      </w:pPr>
      <w:r w:rsidRPr="006D6862">
        <w:rPr>
          <w:bCs/>
          <w:sz w:val="24"/>
          <w:szCs w:val="24"/>
          <w:lang w:val="en-GB"/>
        </w:rPr>
        <w:lastRenderedPageBreak/>
        <w:t>For press requests and interviews:</w:t>
      </w:r>
    </w:p>
    <w:p w14:paraId="02CCA819" w14:textId="77777777" w:rsidR="00704C8C" w:rsidRPr="00833C7C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  <w:lang w:val="en-GB"/>
        </w:rPr>
      </w:pPr>
    </w:p>
    <w:p w14:paraId="0059841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b/>
          <w:bCs/>
          <w:sz w:val="24"/>
          <w:szCs w:val="24"/>
        </w:rPr>
      </w:pPr>
      <w:r w:rsidRPr="00415DFB">
        <w:rPr>
          <w:rFonts w:asciiTheme="minorHAnsi" w:cstheme="minorHAnsi"/>
          <w:b/>
          <w:bCs/>
          <w:sz w:val="24"/>
          <w:szCs w:val="24"/>
        </w:rPr>
        <w:t xml:space="preserve">OGS PR and </w:t>
      </w:r>
      <w:proofErr w:type="spellStart"/>
      <w:r w:rsidRPr="00415DFB">
        <w:rPr>
          <w:rFonts w:asciiTheme="minorHAnsi" w:cstheme="minorHAnsi"/>
          <w:b/>
          <w:bCs/>
          <w:sz w:val="24"/>
          <w:szCs w:val="24"/>
        </w:rPr>
        <w:t>Communication</w:t>
      </w:r>
      <w:proofErr w:type="spellEnd"/>
    </w:p>
    <w:p w14:paraId="052CA13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  <w:r w:rsidRPr="00415DFB">
        <w:rPr>
          <w:rFonts w:asciiTheme="minorHAnsi" w:cstheme="minorHAnsi"/>
          <w:sz w:val="24"/>
          <w:szCs w:val="24"/>
        </w:rPr>
        <w:t xml:space="preserve">Via </w:t>
      </w:r>
      <w:proofErr w:type="spellStart"/>
      <w:r w:rsidRPr="00415DFB">
        <w:rPr>
          <w:rFonts w:asciiTheme="minorHAnsi" w:cstheme="minorHAnsi"/>
          <w:sz w:val="24"/>
          <w:szCs w:val="24"/>
        </w:rPr>
        <w:t>Koristka</w:t>
      </w:r>
      <w:proofErr w:type="spellEnd"/>
      <w:r w:rsidRPr="00415DFB">
        <w:rPr>
          <w:rFonts w:asciiTheme="minorHAnsi" w:cstheme="minorHAnsi"/>
          <w:sz w:val="24"/>
          <w:szCs w:val="24"/>
        </w:rPr>
        <w:t xml:space="preserve"> 3, Milano</w:t>
      </w:r>
    </w:p>
    <w:p w14:paraId="1C30F944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  <w:lang w:val="fr-FR"/>
        </w:rPr>
      </w:pPr>
      <w:hyperlink r:id="rId6" w:history="1">
        <w:r w:rsidRPr="00415DFB">
          <w:rPr>
            <w:rStyle w:val="Collegamentoipertestuale"/>
            <w:rFonts w:asciiTheme="minorHAnsi" w:cstheme="minorHAnsi"/>
            <w:sz w:val="24"/>
            <w:szCs w:val="24"/>
            <w:lang w:val="fr-FR"/>
          </w:rPr>
          <w:t>www.ogscommunication.com</w:t>
        </w:r>
      </w:hyperlink>
      <w:r w:rsidRPr="00415DFB">
        <w:rPr>
          <w:rFonts w:asciiTheme="minorHAnsi" w:cstheme="minorHAnsi"/>
          <w:sz w:val="24"/>
          <w:szCs w:val="24"/>
          <w:lang w:val="fr-FR"/>
        </w:rPr>
        <w:t xml:space="preserve"> – </w:t>
      </w:r>
      <w:hyperlink r:id="rId7" w:history="1">
        <w:r w:rsidRPr="00415DFB">
          <w:rPr>
            <w:rStyle w:val="Collegamentoipertestuale"/>
            <w:rFonts w:asciiTheme="minorHAnsi" w:cstheme="minorHAnsi"/>
            <w:sz w:val="24"/>
            <w:szCs w:val="24"/>
            <w:lang w:val="fr-FR"/>
          </w:rPr>
          <w:t>press.ogscommunication.com</w:t>
        </w:r>
      </w:hyperlink>
    </w:p>
    <w:p w14:paraId="1DD763D5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  <w:r w:rsidRPr="00415DFB">
        <w:rPr>
          <w:rFonts w:asciiTheme="minorHAnsi" w:cstheme="minorHAnsi"/>
          <w:sz w:val="24"/>
          <w:szCs w:val="24"/>
          <w:lang w:val="fr-FR"/>
        </w:rPr>
        <w:t xml:space="preserve"> </w:t>
      </w:r>
      <w:hyperlink r:id="rId8" w:history="1">
        <w:r w:rsidRPr="00415DFB">
          <w:rPr>
            <w:rStyle w:val="Collegamentoipertestuale"/>
            <w:rFonts w:asciiTheme="minorHAnsi" w:cstheme="minorHAnsi"/>
            <w:sz w:val="24"/>
            <w:szCs w:val="24"/>
          </w:rPr>
          <w:t>info@ogscommunication.com</w:t>
        </w:r>
      </w:hyperlink>
    </w:p>
    <w:p w14:paraId="6B1D94FE" w14:textId="77777777" w:rsidR="00704C8C" w:rsidRPr="00415DFB" w:rsidRDefault="00704C8C" w:rsidP="00704C8C">
      <w:pPr>
        <w:spacing w:after="0" w:line="240" w:lineRule="auto"/>
        <w:jc w:val="right"/>
        <w:rPr>
          <w:rFonts w:asciiTheme="minorHAnsi" w:cstheme="minorHAnsi"/>
          <w:sz w:val="24"/>
          <w:szCs w:val="24"/>
        </w:rPr>
      </w:pPr>
      <w:r w:rsidRPr="00415DFB">
        <w:rPr>
          <w:rFonts w:asciiTheme="minorHAnsi" w:cstheme="minorHAnsi"/>
          <w:sz w:val="24"/>
          <w:szCs w:val="24"/>
        </w:rPr>
        <w:t>+39 02 3450610</w:t>
      </w:r>
    </w:p>
    <w:p w14:paraId="68E9B5B7" w14:textId="77777777" w:rsidR="00704C8C" w:rsidRDefault="00704C8C" w:rsidP="00704C8C"/>
    <w:p w14:paraId="23B651B7" w14:textId="77777777" w:rsidR="00704C8C" w:rsidRPr="00BC0126" w:rsidRDefault="00704C8C" w:rsidP="005B3EE8">
      <w:pPr>
        <w:spacing w:after="0"/>
        <w:jc w:val="both"/>
        <w:rPr>
          <w:color w:val="0000FF"/>
          <w:sz w:val="24"/>
          <w:szCs w:val="24"/>
        </w:rPr>
      </w:pPr>
    </w:p>
    <w:sectPr w:rsidR="00704C8C" w:rsidRPr="00BC0126" w:rsidSect="002E5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577C3"/>
    <w:multiLevelType w:val="hybridMultilevel"/>
    <w:tmpl w:val="6FD0D9B0"/>
    <w:lvl w:ilvl="0" w:tplc="BDD88AE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5055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84464D6">
      <w:numFmt w:val="bullet"/>
      <w:lvlText w:val=""/>
      <w:lvlJc w:val="left"/>
      <w:pPr>
        <w:ind w:left="2160" w:hanging="1800"/>
      </w:pPr>
    </w:lvl>
    <w:lvl w:ilvl="3" w:tplc="DE946E6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35CFE8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DA2F9B4">
      <w:numFmt w:val="bullet"/>
      <w:lvlText w:val=""/>
      <w:lvlJc w:val="left"/>
      <w:pPr>
        <w:ind w:left="4320" w:hanging="3960"/>
      </w:pPr>
    </w:lvl>
    <w:lvl w:ilvl="6" w:tplc="31169E2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A00AC3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89AACD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0B917AF"/>
    <w:multiLevelType w:val="hybridMultilevel"/>
    <w:tmpl w:val="AAB21C9E"/>
    <w:lvl w:ilvl="0" w:tplc="345283C2">
      <w:start w:val="1"/>
      <w:numFmt w:val="decimal"/>
      <w:lvlText w:val="%1."/>
      <w:lvlJc w:val="left"/>
      <w:pPr>
        <w:ind w:left="720" w:hanging="360"/>
      </w:pPr>
    </w:lvl>
    <w:lvl w:ilvl="1" w:tplc="083E7AE4">
      <w:start w:val="1"/>
      <w:numFmt w:val="decimal"/>
      <w:lvlText w:val="%2."/>
      <w:lvlJc w:val="left"/>
      <w:pPr>
        <w:ind w:left="1440" w:hanging="1080"/>
      </w:pPr>
    </w:lvl>
    <w:lvl w:ilvl="2" w:tplc="1E0C0B12">
      <w:start w:val="1"/>
      <w:numFmt w:val="decimal"/>
      <w:lvlText w:val="%3."/>
      <w:lvlJc w:val="left"/>
      <w:pPr>
        <w:ind w:left="2160" w:hanging="1980"/>
      </w:pPr>
    </w:lvl>
    <w:lvl w:ilvl="3" w:tplc="0B1E030E">
      <w:start w:val="1"/>
      <w:numFmt w:val="decimal"/>
      <w:lvlText w:val="%4."/>
      <w:lvlJc w:val="left"/>
      <w:pPr>
        <w:ind w:left="2880" w:hanging="2520"/>
      </w:pPr>
    </w:lvl>
    <w:lvl w:ilvl="4" w:tplc="936C35B6">
      <w:start w:val="1"/>
      <w:numFmt w:val="decimal"/>
      <w:lvlText w:val="%5."/>
      <w:lvlJc w:val="left"/>
      <w:pPr>
        <w:ind w:left="3600" w:hanging="3240"/>
      </w:pPr>
    </w:lvl>
    <w:lvl w:ilvl="5" w:tplc="085C16E4">
      <w:start w:val="1"/>
      <w:numFmt w:val="decimal"/>
      <w:lvlText w:val="%6."/>
      <w:lvlJc w:val="left"/>
      <w:pPr>
        <w:ind w:left="4320" w:hanging="4140"/>
      </w:pPr>
    </w:lvl>
    <w:lvl w:ilvl="6" w:tplc="9C3EA188">
      <w:start w:val="1"/>
      <w:numFmt w:val="decimal"/>
      <w:lvlText w:val="%7."/>
      <w:lvlJc w:val="left"/>
      <w:pPr>
        <w:ind w:left="5040" w:hanging="4680"/>
      </w:pPr>
    </w:lvl>
    <w:lvl w:ilvl="7" w:tplc="60F88150">
      <w:start w:val="1"/>
      <w:numFmt w:val="decimal"/>
      <w:lvlText w:val="%8."/>
      <w:lvlJc w:val="left"/>
      <w:pPr>
        <w:ind w:left="5760" w:hanging="5400"/>
      </w:pPr>
    </w:lvl>
    <w:lvl w:ilvl="8" w:tplc="6CBE2D0C">
      <w:start w:val="1"/>
      <w:numFmt w:val="decimal"/>
      <w:lvlText w:val="%9."/>
      <w:lvlJc w:val="left"/>
      <w:pPr>
        <w:ind w:left="6480" w:hanging="6300"/>
      </w:pPr>
    </w:lvl>
  </w:abstractNum>
  <w:num w:numId="1" w16cid:durableId="945307227">
    <w:abstractNumId w:val="0"/>
  </w:num>
  <w:num w:numId="2" w16cid:durableId="132149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F8"/>
    <w:rsid w:val="002E7F0E"/>
    <w:rsid w:val="00415DFB"/>
    <w:rsid w:val="0055598B"/>
    <w:rsid w:val="005B3EE8"/>
    <w:rsid w:val="005E05F8"/>
    <w:rsid w:val="006E18FE"/>
    <w:rsid w:val="00704C8C"/>
    <w:rsid w:val="00833C7C"/>
    <w:rsid w:val="00934118"/>
    <w:rsid w:val="00A34F7A"/>
    <w:rsid w:val="00A7451B"/>
    <w:rsid w:val="00BC0126"/>
    <w:rsid w:val="00C4245E"/>
    <w:rsid w:val="00E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F741"/>
  <w15:docId w15:val="{33F4CDBC-4099-473B-B6F9-FB53540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2292D"/>
    <w:rPr>
      <w:color w:val="0563C1"/>
      <w:u w:val="single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gscommun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s.ogscommuni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communication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Ogs.06</dc:creator>
  <cp:keywords/>
  <dc:description/>
  <cp:lastModifiedBy>PC6 PC6</cp:lastModifiedBy>
  <cp:revision>41</cp:revision>
  <dcterms:created xsi:type="dcterms:W3CDTF">2025-03-19T08:09:00Z</dcterms:created>
  <dcterms:modified xsi:type="dcterms:W3CDTF">2025-08-05T13:10:00Z</dcterms:modified>
</cp:coreProperties>
</file>